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sz w:val="24"/>
          <w:szCs w:val="24"/>
        </w:rPr>
      </w:pPr>
      <w:r w:rsidDel="00000000" w:rsidR="00000000" w:rsidRPr="00000000">
        <w:rPr>
          <w:sz w:val="24"/>
          <w:szCs w:val="24"/>
          <w:rtl w:val="0"/>
        </w:rPr>
        <w:t xml:space="preserve">Ariana Castaneda</w:t>
      </w:r>
    </w:p>
    <w:p w:rsidR="00000000" w:rsidDel="00000000" w:rsidP="00000000" w:rsidRDefault="00000000" w:rsidRPr="00000000" w14:paraId="00000001">
      <w:pPr>
        <w:ind w:firstLine="0"/>
        <w:contextualSpacing w:val="0"/>
        <w:rPr>
          <w:sz w:val="24"/>
          <w:szCs w:val="24"/>
        </w:rPr>
      </w:pPr>
      <w:r w:rsidDel="00000000" w:rsidR="00000000" w:rsidRPr="00000000">
        <w:rPr>
          <w:sz w:val="24"/>
          <w:szCs w:val="24"/>
          <w:rtl w:val="0"/>
        </w:rPr>
        <w:t xml:space="preserve">MIS2501</w:t>
      </w:r>
    </w:p>
    <w:p w:rsidR="00000000" w:rsidDel="00000000" w:rsidP="00000000" w:rsidRDefault="00000000" w:rsidRPr="00000000" w14:paraId="00000002">
      <w:pPr>
        <w:ind w:firstLine="0"/>
        <w:contextualSpacing w:val="0"/>
        <w:rPr>
          <w:sz w:val="24"/>
          <w:szCs w:val="24"/>
        </w:rPr>
      </w:pPr>
      <w:r w:rsidDel="00000000" w:rsidR="00000000" w:rsidRPr="00000000">
        <w:rPr>
          <w:sz w:val="24"/>
          <w:szCs w:val="24"/>
          <w:rtl w:val="0"/>
        </w:rPr>
        <w:t xml:space="preserve">February 28, 2018 </w:t>
      </w:r>
    </w:p>
    <w:p w:rsidR="00000000" w:rsidDel="00000000" w:rsidP="00000000" w:rsidRDefault="00000000" w:rsidRPr="00000000" w14:paraId="00000003">
      <w:pPr>
        <w:ind w:firstLine="72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4">
      <w:pPr>
        <w:ind w:firstLine="72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 w:lineRule="auto"/>
        <w:ind w:firstLine="720"/>
        <w:contextualSpacing w:val="0"/>
        <w:jc w:val="center"/>
        <w:rPr>
          <w:sz w:val="24"/>
          <w:szCs w:val="24"/>
        </w:rPr>
      </w:pPr>
      <w:r w:rsidDel="00000000" w:rsidR="00000000" w:rsidRPr="00000000">
        <w:rPr>
          <w:sz w:val="24"/>
          <w:szCs w:val="24"/>
          <w:rtl w:val="0"/>
        </w:rPr>
        <w:t xml:space="preserve">“Data Centers and Networking”</w:t>
      </w:r>
    </w:p>
    <w:p w:rsidR="00000000" w:rsidDel="00000000" w:rsidP="00000000" w:rsidRDefault="00000000" w:rsidRPr="00000000" w14:paraId="00000006">
      <w:pPr>
        <w:spacing w:line="276" w:lineRule="auto"/>
        <w:ind w:firstLine="72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76" w:lineRule="auto"/>
        <w:ind w:firstLine="720"/>
        <w:contextualSpacing w:val="0"/>
        <w:rPr>
          <w:sz w:val="24"/>
          <w:szCs w:val="24"/>
        </w:rPr>
      </w:pPr>
      <w:r w:rsidDel="00000000" w:rsidR="00000000" w:rsidRPr="00000000">
        <w:rPr>
          <w:sz w:val="24"/>
          <w:szCs w:val="24"/>
          <w:rtl w:val="0"/>
        </w:rPr>
        <w:t xml:space="preserve">Our company can realize a total net benefit of $13M</w:t>
      </w:r>
      <w:r w:rsidDel="00000000" w:rsidR="00000000" w:rsidRPr="00000000">
        <w:rPr>
          <w:color w:val="ff0000"/>
          <w:sz w:val="24"/>
          <w:szCs w:val="24"/>
          <w:rtl w:val="0"/>
        </w:rPr>
        <w:t xml:space="preserve"> </w:t>
      </w:r>
      <w:r w:rsidDel="00000000" w:rsidR="00000000" w:rsidRPr="00000000">
        <w:rPr>
          <w:sz w:val="24"/>
          <w:szCs w:val="24"/>
          <w:rtl w:val="0"/>
        </w:rPr>
        <w:t xml:space="preserve">over the next three years by implementing a new Tier III data center. Tier III offers a “Concurrently Maintainable data center” that has redundant capacity components and multiple independent distribution paths. With this implementation, the company will reduce downtime costs and significantly increase the company’s site availability to 99.98% in one year.</w:t>
      </w:r>
    </w:p>
    <w:p w:rsidR="00000000" w:rsidDel="00000000" w:rsidP="00000000" w:rsidRDefault="00000000" w:rsidRPr="00000000" w14:paraId="00000008">
      <w:pPr>
        <w:spacing w:line="276"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ind w:left="0" w:firstLine="720"/>
        <w:contextualSpacing w:val="0"/>
        <w:rPr>
          <w:sz w:val="24"/>
          <w:szCs w:val="24"/>
        </w:rPr>
      </w:pPr>
      <w:r w:rsidDel="00000000" w:rsidR="00000000" w:rsidRPr="00000000">
        <w:rPr>
          <w:sz w:val="24"/>
          <w:szCs w:val="24"/>
          <w:rtl w:val="0"/>
        </w:rPr>
        <w:t xml:space="preserve">Our current Tier I has a redundant capacity with a non-redundant distribution path. With Tier III, all the equipment will not be affected by any damages and will continue to work on a regular basis. Tier III is dual powered for all IT equipment, which can benefit our company as we will no longer have to wait for maintenance to continue with performing. This means there will always be a “plus one” machine to back up any unexpected disruptions in our system. Lastly, the Tier III data center has a twelve-hour on-site fuel storage that our current Tier I does not have. Therefore, if our company has a power loss in both generators, no data will be lost within the next twelve hours of operation.</w:t>
      </w:r>
    </w:p>
    <w:p w:rsidR="00000000" w:rsidDel="00000000" w:rsidP="00000000" w:rsidRDefault="00000000" w:rsidRPr="00000000" w14:paraId="0000000A">
      <w:pPr>
        <w:spacing w:line="276"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ind w:firstLine="720"/>
        <w:contextualSpacing w:val="0"/>
        <w:rPr>
          <w:sz w:val="24"/>
          <w:szCs w:val="24"/>
        </w:rPr>
      </w:pPr>
      <w:r w:rsidDel="00000000" w:rsidR="00000000" w:rsidRPr="00000000">
        <w:rPr>
          <w:sz w:val="24"/>
          <w:szCs w:val="24"/>
          <w:rtl w:val="0"/>
        </w:rPr>
        <w:t xml:space="preserve">The total implementation cost during the first year is $35M, allowing the company to save over $24M per year. We will realize a net benefit of $13M over the next three years by reducing downtime costs from $23M to $1.5M per year. </w:t>
      </w:r>
    </w:p>
    <w:p w:rsidR="00000000" w:rsidDel="00000000" w:rsidP="00000000" w:rsidRDefault="00000000" w:rsidRPr="00000000" w14:paraId="0000000C">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0D">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0E">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0F">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0">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1">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2">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3">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4">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16">
      <w:pPr>
        <w:spacing w:line="360" w:lineRule="auto"/>
        <w:ind w:firstLine="720"/>
        <w:contextualSpacing w:val="0"/>
        <w:jc w:val="center"/>
        <w:rPr>
          <w:sz w:val="24"/>
          <w:szCs w:val="24"/>
        </w:rPr>
      </w:pPr>
      <w:r w:rsidDel="00000000" w:rsidR="00000000" w:rsidRPr="00000000">
        <w:rPr>
          <w:sz w:val="24"/>
          <w:szCs w:val="24"/>
          <w:rtl w:val="0"/>
        </w:rPr>
        <w:t xml:space="preserve">Works Cited</w:t>
      </w:r>
    </w:p>
    <w:p w:rsidR="00000000" w:rsidDel="00000000" w:rsidP="00000000" w:rsidRDefault="00000000" w:rsidRPr="00000000" w14:paraId="00000017">
      <w:pPr>
        <w:spacing w:line="360" w:lineRule="auto"/>
        <w:ind w:firstLine="720"/>
        <w:contextualSpacing w:val="0"/>
        <w:jc w:val="center"/>
        <w:rPr>
          <w:sz w:val="24"/>
          <w:szCs w:val="24"/>
        </w:rPr>
      </w:pPr>
      <w:r w:rsidDel="00000000" w:rsidR="00000000" w:rsidRPr="00000000">
        <w:rPr>
          <w:rtl w:val="0"/>
        </w:rPr>
      </w:r>
    </w:p>
    <w:tbl>
      <w:tblPr>
        <w:tblStyle w:val="Table1"/>
        <w:tblW w:w="92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1920"/>
        <w:gridCol w:w="1890"/>
        <w:gridCol w:w="2205"/>
        <w:gridCol w:w="1935"/>
        <w:tblGridChange w:id="0">
          <w:tblGrid>
            <w:gridCol w:w="1290"/>
            <w:gridCol w:w="1920"/>
            <w:gridCol w:w="1890"/>
            <w:gridCol w:w="2205"/>
            <w:gridCol w:w="193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ind w:left="100" w:firstLine="0"/>
              <w:contextualSpacing w:val="0"/>
              <w:jc w:val="center"/>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Minutes/Year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t xml:space="preserve">Availability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t xml:space="preserve">Downtime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t xml:space="preserve">Cost/Year</w:t>
            </w:r>
          </w:p>
        </w:tc>
      </w:tr>
      <w:tr>
        <w:trPr>
          <w:trHeight w:val="5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Tier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ind w:left="100" w:firstLine="0"/>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$525,600.00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99.67%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$1,734.48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line="360" w:lineRule="auto"/>
              <w:ind w:left="100" w:firstLine="0"/>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$23,670,304.00</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Tier III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line="360" w:lineRule="auto"/>
              <w:ind w:left="100" w:firstLine="0"/>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$525,600.00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99.98%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360" w:lineRule="auto"/>
              <w:ind w:left="100" w:firstLine="0"/>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$1,555,776.00</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spacing w:line="360" w:lineRule="auto"/>
              <w:ind w:left="100" w:firstLine="0"/>
              <w:contextualSpacing w:val="0"/>
              <w:jc w:val="cente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line="360" w:lineRule="auto"/>
              <w:ind w:left="100" w:firstLine="0"/>
              <w:contextualSpacing w:val="0"/>
              <w:jc w:val="cente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line="360" w:lineRule="auto"/>
              <w:ind w:left="100" w:firstLine="0"/>
              <w:contextualSpacing w:val="0"/>
              <w:jc w:val="cente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Savings per Year=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360" w:lineRule="auto"/>
              <w:ind w:left="100" w:firstLine="0"/>
              <w:contextualSpacing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$24,224,528.00</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C">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Tier III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$35,000,000.00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$35,000,000.00</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6">
            <w:pPr>
              <w:spacing w:line="360" w:lineRule="auto"/>
              <w:ind w:left="10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Benefit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$24,114,528.00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$24,114,528.00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line="360" w:lineRule="auto"/>
              <w:ind w:left="10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$48,229,056.00</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B">
            <w:pPr>
              <w:spacing w:line="360" w:lineRule="auto"/>
              <w:ind w:left="100" w:firstLine="0"/>
              <w:contextualSpacing w:val="0"/>
              <w:jc w:val="cente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C">
            <w:pPr>
              <w:spacing w:line="360" w:lineRule="auto"/>
              <w:ind w:left="100" w:firstLine="0"/>
              <w:contextualSpacing w:val="0"/>
              <w:jc w:val="cente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D">
            <w:pPr>
              <w:spacing w:line="360" w:lineRule="auto"/>
              <w:ind w:left="100" w:firstLine="0"/>
              <w:contextualSpacing w:val="0"/>
              <w:jc w:val="cente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E">
            <w:pPr>
              <w:spacing w:line="360" w:lineRule="auto"/>
              <w:ind w:left="100" w:firstLine="0"/>
              <w:contextualSpacing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Year Benefit=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F">
            <w:pPr>
              <w:spacing w:line="360" w:lineRule="auto"/>
              <w:ind w:left="100" w:firstLine="0"/>
              <w:contextualSpacing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$13,229,056.00</w:t>
            </w:r>
          </w:p>
        </w:tc>
      </w:tr>
    </w:tbl>
    <w:p w:rsidR="00000000" w:rsidDel="00000000" w:rsidP="00000000" w:rsidRDefault="00000000" w:rsidRPr="00000000" w14:paraId="00000040">
      <w:pPr>
        <w:spacing w:line="360" w:lineRule="auto"/>
        <w:ind w:firstLine="720"/>
        <w:contextualSpacing w:val="0"/>
        <w:jc w:val="center"/>
        <w:rPr>
          <w:sz w:val="24"/>
          <w:szCs w:val="24"/>
        </w:rPr>
      </w:pPr>
      <w:r w:rsidDel="00000000" w:rsidR="00000000" w:rsidRPr="00000000">
        <w:rPr>
          <w:rtl w:val="0"/>
        </w:rPr>
      </w:r>
    </w:p>
    <w:p w:rsidR="00000000" w:rsidDel="00000000" w:rsidP="00000000" w:rsidRDefault="00000000" w:rsidRPr="00000000" w14:paraId="00000041">
      <w:pPr>
        <w:ind w:firstLine="720"/>
        <w:contextualSpacing w:val="0"/>
        <w:rPr>
          <w:sz w:val="24"/>
          <w:szCs w:val="24"/>
        </w:rPr>
      </w:pPr>
      <w:r w:rsidDel="00000000" w:rsidR="00000000" w:rsidRPr="00000000">
        <w:rPr>
          <w:rtl w:val="0"/>
        </w:rPr>
      </w:r>
    </w:p>
    <w:p w:rsidR="00000000" w:rsidDel="00000000" w:rsidP="00000000" w:rsidRDefault="00000000" w:rsidRPr="00000000" w14:paraId="00000042">
      <w:pPr>
        <w:ind w:firstLine="720"/>
        <w:contextualSpacing w:val="0"/>
        <w:rPr/>
      </w:pPr>
      <w:r w:rsidDel="00000000" w:rsidR="00000000" w:rsidRPr="00000000">
        <w:rPr>
          <w:rtl w:val="0"/>
        </w:rPr>
        <w:t xml:space="preserve">Turner VI, Pitt W., Seader, John H., Renaud, Vincent E. “Data Center Site Infrastructure Tier Standard: Topology.” UptimeInstitute, LLC. Web. 2010.</w:t>
      </w:r>
    </w:p>
    <w:p w:rsidR="00000000" w:rsidDel="00000000" w:rsidP="00000000" w:rsidRDefault="00000000" w:rsidRPr="00000000" w14:paraId="00000043">
      <w:pPr>
        <w:contextualSpacing w:val="0"/>
        <w:rPr>
          <w:color w:val="1155cc"/>
          <w:u w:val="single"/>
        </w:rPr>
      </w:pPr>
      <w:r w:rsidDel="00000000" w:rsidR="00000000" w:rsidRPr="00000000">
        <w:fldChar w:fldCharType="begin"/>
        <w:instrText xml:space="preserve"> HYPERLINK "http://community.mis.temple.edu/mis2501sec001f13/files/2013/08/DataCenter-Site-Infrastructure-Tier-Standar-Topology.pdf" </w:instrText>
        <w:fldChar w:fldCharType="separate"/>
      </w:r>
      <w:r w:rsidDel="00000000" w:rsidR="00000000" w:rsidRPr="00000000">
        <w:rPr>
          <w:color w:val="1155cc"/>
          <w:u w:val="single"/>
          <w:rtl w:val="0"/>
        </w:rPr>
        <w:t xml:space="preserve">http://community.mis.temple.edu/mis2501sec001f13/files/2013/08/DataCenter-Site-Infrastructure-Tier-Standar-Topology.pdf</w:t>
      </w:r>
    </w:p>
    <w:p w:rsidR="00000000" w:rsidDel="00000000" w:rsidP="00000000" w:rsidRDefault="00000000" w:rsidRPr="00000000" w14:paraId="00000044">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45">
      <w:pPr>
        <w:ind w:firstLine="720"/>
        <w:contextualSpacing w:val="0"/>
        <w:rPr/>
      </w:pPr>
      <w:r w:rsidDel="00000000" w:rsidR="00000000" w:rsidRPr="00000000">
        <w:rPr>
          <w:rtl w:val="0"/>
        </w:rPr>
        <w:t xml:space="preserve">Gupta, Rishinka, “Why to Prefer a Tier 3 in Data Center?” Rack Bank. 05 Jan. Web, 18 Sept. 2016.</w:t>
      </w:r>
    </w:p>
    <w:p w:rsidR="00000000" w:rsidDel="00000000" w:rsidP="00000000" w:rsidRDefault="00000000" w:rsidRPr="00000000" w14:paraId="00000046">
      <w:pPr>
        <w:contextualSpacing w:val="0"/>
        <w:rPr/>
      </w:pPr>
      <w:r w:rsidDel="00000000" w:rsidR="00000000" w:rsidRPr="00000000">
        <w:rPr>
          <w:rtl w:val="0"/>
        </w:rPr>
        <w:t xml:space="preserve">&lt;</w:t>
      </w:r>
      <w:hyperlink r:id="rId6">
        <w:r w:rsidDel="00000000" w:rsidR="00000000" w:rsidRPr="00000000">
          <w:rPr>
            <w:color w:val="1155cc"/>
            <w:u w:val="single"/>
            <w:rtl w:val="0"/>
          </w:rPr>
          <w:t xml:space="preserve">https://www.rackbank.com/blog/why-to-prefer-tier-3-data-center/</w:t>
        </w:r>
      </w:hyperlink>
      <w:r w:rsidDel="00000000" w:rsidR="00000000" w:rsidRPr="00000000">
        <w:rPr>
          <w:rtl w:val="0"/>
        </w:rPr>
        <w:t xml:space="preserve">&gt;.</w:t>
      </w:r>
    </w:p>
    <w:p w:rsidR="00000000" w:rsidDel="00000000" w:rsidP="00000000" w:rsidRDefault="00000000" w:rsidRPr="00000000" w14:paraId="00000047">
      <w:pPr>
        <w:ind w:firstLine="720"/>
        <w:contextualSpacing w:val="0"/>
        <w:rPr/>
      </w:pPr>
      <w:r w:rsidDel="00000000" w:rsidR="00000000" w:rsidRPr="00000000">
        <w:rPr>
          <w:rtl w:val="0"/>
        </w:rPr>
        <w:t xml:space="preserve"> </w:t>
      </w:r>
    </w:p>
    <w:p w:rsidR="00000000" w:rsidDel="00000000" w:rsidP="00000000" w:rsidRDefault="00000000" w:rsidRPr="00000000" w14:paraId="00000048">
      <w:pPr>
        <w:ind w:firstLine="720"/>
        <w:contextualSpacing w:val="0"/>
        <w:rPr/>
      </w:pPr>
      <w:r w:rsidDel="00000000" w:rsidR="00000000" w:rsidRPr="00000000">
        <w:rPr>
          <w:rtl w:val="0"/>
        </w:rPr>
        <w:t xml:space="preserve">Diaz, Hector. “Explaining the Uptime Institute’s Tier Classification System” UptimeInstitute, LLC. 2010. Web. 18, Sept. 2016.</w:t>
      </w:r>
    </w:p>
    <w:p w:rsidR="00000000" w:rsidDel="00000000" w:rsidP="00000000" w:rsidRDefault="00000000" w:rsidRPr="00000000" w14:paraId="00000049">
      <w:pPr>
        <w:contextualSpacing w:val="0"/>
        <w:rPr/>
      </w:pPr>
      <w:r w:rsidDel="00000000" w:rsidR="00000000" w:rsidRPr="00000000">
        <w:rPr>
          <w:rtl w:val="0"/>
        </w:rPr>
        <w:t xml:space="preserve">&lt;</w:t>
      </w:r>
      <w:hyperlink r:id="rId7">
        <w:r w:rsidDel="00000000" w:rsidR="00000000" w:rsidRPr="00000000">
          <w:rPr>
            <w:color w:val="1155cc"/>
            <w:u w:val="single"/>
            <w:rtl w:val="0"/>
          </w:rPr>
          <w:t xml:space="preserve">https://journal.uptimeinstitute.com/explaining-uptime-institutes-tier-classification-system/</w:t>
        </w:r>
      </w:hyperlink>
      <w:r w:rsidDel="00000000" w:rsidR="00000000" w:rsidRPr="00000000">
        <w:rPr>
          <w:rtl w:val="0"/>
        </w:rPr>
        <w:t xml:space="preserve">&gt; </w:t>
      </w:r>
    </w:p>
    <w:p w:rsidR="00000000" w:rsidDel="00000000" w:rsidP="00000000" w:rsidRDefault="00000000" w:rsidRPr="00000000" w14:paraId="0000004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ackbank.com/blog/why-to-prefer-tier-3-data-center/" TargetMode="External"/><Relationship Id="rId7" Type="http://schemas.openxmlformats.org/officeDocument/2006/relationships/hyperlink" Target="https://journal.uptimeinstitute.com/explaining-uptime-institutes-tier-classificatio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