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52" w:rsidRDefault="00932F52">
      <w:pPr>
        <w:jc w:val="center"/>
      </w:pPr>
    </w:p>
    <w:p w:rsidR="00932F52" w:rsidRDefault="0010243E">
      <w:r>
        <w:t>Ariana Castaneda</w:t>
      </w:r>
    </w:p>
    <w:p w:rsidR="00932F52" w:rsidRDefault="0010243E">
      <w:r>
        <w:t>MIS 2501</w:t>
      </w:r>
    </w:p>
    <w:p w:rsidR="00932F52" w:rsidRDefault="0010243E">
      <w:r>
        <w:t>February 28, 2018</w:t>
      </w:r>
    </w:p>
    <w:p w:rsidR="00932F52" w:rsidRDefault="00932F52"/>
    <w:p w:rsidR="00932F52" w:rsidRDefault="0010243E">
      <w:pPr>
        <w:jc w:val="center"/>
        <w:rPr>
          <w:sz w:val="24"/>
          <w:szCs w:val="24"/>
        </w:rPr>
      </w:pPr>
      <w:r>
        <w:rPr>
          <w:sz w:val="24"/>
          <w:szCs w:val="24"/>
        </w:rPr>
        <w:t>Flash Research Assignment: Virtualization and Cloud Computing</w:t>
      </w:r>
    </w:p>
    <w:p w:rsidR="00932F52" w:rsidRDefault="00932F52">
      <w:pPr>
        <w:rPr>
          <w:u w:val="single"/>
        </w:rPr>
      </w:pPr>
    </w:p>
    <w:p w:rsidR="00932F52" w:rsidRDefault="0010243E">
      <w:pPr>
        <w:ind w:firstLine="720"/>
        <w:rPr>
          <w:sz w:val="24"/>
          <w:szCs w:val="24"/>
        </w:rPr>
      </w:pPr>
      <w:r>
        <w:rPr>
          <w:sz w:val="24"/>
          <w:szCs w:val="24"/>
        </w:rPr>
        <w:t>Our company</w:t>
      </w:r>
      <w:r w:rsidR="001C25E3">
        <w:rPr>
          <w:sz w:val="24"/>
          <w:szCs w:val="24"/>
        </w:rPr>
        <w:t xml:space="preserve"> can generate a net benefit of </w:t>
      </w:r>
      <w:r>
        <w:rPr>
          <w:sz w:val="24"/>
          <w:szCs w:val="24"/>
        </w:rPr>
        <w:t>$9.2M over the next three years by switching from physical servers to virtual servers. Virtual servers can consolidate server workloads of 10 physical servers on average and increase sustainability. Implementing v</w:t>
      </w:r>
      <w:r>
        <w:rPr>
          <w:sz w:val="24"/>
          <w:szCs w:val="24"/>
        </w:rPr>
        <w:t xml:space="preserve">irtual servers will allow us to consolidate 1000 of our current machines into 80. </w:t>
      </w:r>
    </w:p>
    <w:p w:rsidR="00932F52" w:rsidRDefault="00932F52">
      <w:pPr>
        <w:rPr>
          <w:rFonts w:ascii="Cambria" w:eastAsia="Cambria" w:hAnsi="Cambria" w:cs="Cambria"/>
          <w:sz w:val="24"/>
          <w:szCs w:val="24"/>
        </w:rPr>
      </w:pPr>
    </w:p>
    <w:p w:rsidR="00932F52" w:rsidRDefault="0010243E">
      <w:pPr>
        <w:ind w:firstLine="720"/>
        <w:rPr>
          <w:sz w:val="24"/>
          <w:szCs w:val="24"/>
        </w:rPr>
      </w:pPr>
      <w:r>
        <w:rPr>
          <w:sz w:val="24"/>
          <w:szCs w:val="24"/>
        </w:rPr>
        <w:t xml:space="preserve">With the implementation of virtual server technology using VMware, the </w:t>
      </w:r>
      <w:r w:rsidR="001C25E3">
        <w:rPr>
          <w:sz w:val="24"/>
          <w:szCs w:val="24"/>
        </w:rPr>
        <w:t>company will</w:t>
      </w:r>
      <w:r>
        <w:rPr>
          <w:sz w:val="24"/>
          <w:szCs w:val="24"/>
        </w:rPr>
        <w:t xml:space="preserve"> increase the overall utilization of hardware by having 10 servers run on a single serve</w:t>
      </w:r>
      <w:r>
        <w:rPr>
          <w:sz w:val="24"/>
          <w:szCs w:val="24"/>
        </w:rPr>
        <w:t>r machine. This facilitates the servers’ management by reducing the total number of servers. Individual physical servers normally do not utilize all of their hardware configuration resources and often have excess resources like RAM and Processor unutilized</w:t>
      </w:r>
      <w:r>
        <w:rPr>
          <w:sz w:val="24"/>
          <w:szCs w:val="24"/>
        </w:rPr>
        <w:t>. Deploying virtualization technology and consolidating several servers in one high-end server will have most of the server resources utilized; e.g. 10 servers using on average 2GB of RAM out of a 4GB machine can be combined into a single physical server w</w:t>
      </w:r>
      <w:r>
        <w:rPr>
          <w:sz w:val="24"/>
          <w:szCs w:val="24"/>
        </w:rPr>
        <w:t xml:space="preserve">ith 24GB of RAM instead of having 10 physical 4GB servers. </w:t>
      </w:r>
    </w:p>
    <w:p w:rsidR="00932F52" w:rsidRDefault="00932F52">
      <w:pPr>
        <w:ind w:firstLine="720"/>
        <w:rPr>
          <w:sz w:val="24"/>
          <w:szCs w:val="24"/>
        </w:rPr>
      </w:pPr>
    </w:p>
    <w:p w:rsidR="00932F52" w:rsidRDefault="0010243E">
      <w:pPr>
        <w:ind w:firstLine="720"/>
        <w:rPr>
          <w:sz w:val="24"/>
          <w:szCs w:val="24"/>
        </w:rPr>
      </w:pPr>
      <w:r>
        <w:rPr>
          <w:sz w:val="24"/>
          <w:szCs w:val="24"/>
        </w:rPr>
        <w:t>Purchasing and maintenance costs of 1000 distinct physical servers over three years will be $14,000,000. Virtualizing servers reduce these costs to $4,800,000 for 80 virtual servers and 200 physi</w:t>
      </w:r>
      <w:r>
        <w:rPr>
          <w:sz w:val="24"/>
          <w:szCs w:val="24"/>
        </w:rPr>
        <w:t>cal servers. The company will ge</w:t>
      </w:r>
      <w:r w:rsidR="001C25E3">
        <w:rPr>
          <w:sz w:val="24"/>
          <w:szCs w:val="24"/>
        </w:rPr>
        <w:t xml:space="preserve">nerate a 3-year net benefit of </w:t>
      </w:r>
      <w:bookmarkStart w:id="0" w:name="_GoBack"/>
      <w:bookmarkEnd w:id="0"/>
      <w:r>
        <w:rPr>
          <w:sz w:val="24"/>
          <w:szCs w:val="24"/>
        </w:rPr>
        <w:t xml:space="preserve">$9,200,000 by switching 80% of our physical servers to virtual under VMware. </w:t>
      </w:r>
    </w:p>
    <w:p w:rsidR="00932F52" w:rsidRDefault="00932F52"/>
    <w:p w:rsidR="00932F52" w:rsidRDefault="00932F52"/>
    <w:p w:rsidR="00932F52" w:rsidRDefault="00932F52"/>
    <w:p w:rsidR="00932F52" w:rsidRDefault="00932F52"/>
    <w:p w:rsidR="00932F52" w:rsidRDefault="00932F52"/>
    <w:p w:rsidR="00932F52" w:rsidRDefault="00932F52"/>
    <w:p w:rsidR="00932F52" w:rsidRDefault="00932F52"/>
    <w:p w:rsidR="00932F52" w:rsidRDefault="00932F52"/>
    <w:p w:rsidR="00932F52" w:rsidRDefault="00932F52"/>
    <w:p w:rsidR="00932F52" w:rsidRDefault="00932F52"/>
    <w:p w:rsidR="00932F52" w:rsidRDefault="00932F52"/>
    <w:p w:rsidR="00932F52" w:rsidRDefault="00932F52"/>
    <w:p w:rsidR="00932F52" w:rsidRDefault="00932F52"/>
    <w:p w:rsidR="00932F52" w:rsidRDefault="00932F52"/>
    <w:p w:rsidR="001C25E3" w:rsidRDefault="001C25E3"/>
    <w:p w:rsidR="00932F52" w:rsidRDefault="00932F52"/>
    <w:p w:rsidR="00932F52" w:rsidRDefault="0010243E">
      <w:pPr>
        <w:jc w:val="center"/>
      </w:pPr>
      <w:r>
        <w:lastRenderedPageBreak/>
        <w:t>Works Cited</w:t>
      </w:r>
    </w:p>
    <w:p w:rsidR="00932F52" w:rsidRDefault="00932F52">
      <w:pPr>
        <w:jc w:val="center"/>
      </w:pPr>
    </w:p>
    <w:p w:rsidR="00932F52" w:rsidRDefault="00932F52">
      <w:pPr>
        <w:jc w:val="center"/>
      </w:pP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845"/>
        <w:gridCol w:w="1417"/>
        <w:gridCol w:w="1323"/>
        <w:gridCol w:w="1323"/>
        <w:gridCol w:w="1452"/>
      </w:tblGrid>
      <w:tr w:rsidR="00932F52">
        <w:trPr>
          <w:trHeight w:val="480"/>
        </w:trPr>
        <w:tc>
          <w:tcPr>
            <w:tcW w:w="3843" w:type="dxa"/>
            <w:tcBorders>
              <w:top w:val="nil"/>
              <w:left w:val="nil"/>
              <w:bottom w:val="single" w:sz="4" w:space="0" w:color="000000"/>
              <w:right w:val="single" w:sz="4" w:space="0" w:color="000000"/>
            </w:tcBorders>
            <w:shd w:val="clear" w:color="auto" w:fill="D9E1F2"/>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color w:val="305496"/>
                <w:sz w:val="16"/>
                <w:szCs w:val="16"/>
              </w:rPr>
              <w:t xml:space="preserve"> </w:t>
            </w:r>
          </w:p>
        </w:tc>
        <w:tc>
          <w:tcPr>
            <w:tcW w:w="1417" w:type="dxa"/>
            <w:tcBorders>
              <w:top w:val="nil"/>
              <w:left w:val="single" w:sz="4" w:space="0" w:color="000000"/>
              <w:bottom w:val="single" w:sz="4" w:space="0" w:color="000000"/>
              <w:right w:val="single" w:sz="4" w:space="0" w:color="000000"/>
            </w:tcBorders>
            <w:shd w:val="clear" w:color="auto" w:fill="D9E1F2"/>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b/>
                <w:color w:val="305496"/>
                <w:sz w:val="16"/>
                <w:szCs w:val="16"/>
              </w:rPr>
              <w:t>Year 1</w:t>
            </w:r>
          </w:p>
        </w:tc>
        <w:tc>
          <w:tcPr>
            <w:tcW w:w="1323" w:type="dxa"/>
            <w:tcBorders>
              <w:top w:val="nil"/>
              <w:left w:val="nil"/>
              <w:bottom w:val="single" w:sz="4" w:space="0" w:color="000000"/>
              <w:right w:val="single" w:sz="4" w:space="0" w:color="000000"/>
            </w:tcBorders>
            <w:shd w:val="clear" w:color="auto" w:fill="D9E1F2"/>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b/>
                <w:color w:val="305496"/>
                <w:sz w:val="16"/>
                <w:szCs w:val="16"/>
              </w:rPr>
              <w:t>Year 2</w:t>
            </w:r>
          </w:p>
        </w:tc>
        <w:tc>
          <w:tcPr>
            <w:tcW w:w="1323" w:type="dxa"/>
            <w:tcBorders>
              <w:top w:val="nil"/>
              <w:left w:val="single" w:sz="4" w:space="0" w:color="000000"/>
              <w:bottom w:val="single" w:sz="4" w:space="0" w:color="000000"/>
              <w:right w:val="single" w:sz="4" w:space="0" w:color="000000"/>
            </w:tcBorders>
            <w:shd w:val="clear" w:color="auto" w:fill="D9E1F2"/>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b/>
                <w:color w:val="305496"/>
                <w:sz w:val="16"/>
                <w:szCs w:val="16"/>
              </w:rPr>
              <w:t xml:space="preserve">Year 3 </w:t>
            </w:r>
          </w:p>
        </w:tc>
        <w:tc>
          <w:tcPr>
            <w:tcW w:w="1452" w:type="dxa"/>
            <w:tcBorders>
              <w:top w:val="nil"/>
              <w:left w:val="single" w:sz="4" w:space="0" w:color="000000"/>
              <w:bottom w:val="single" w:sz="4" w:space="0" w:color="000000"/>
              <w:right w:val="single" w:sz="4" w:space="0" w:color="000000"/>
            </w:tcBorders>
            <w:shd w:val="clear" w:color="auto" w:fill="D9E1F2"/>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b/>
                <w:color w:val="305496"/>
                <w:sz w:val="16"/>
                <w:szCs w:val="16"/>
              </w:rPr>
              <w:t>Total</w:t>
            </w:r>
          </w:p>
        </w:tc>
      </w:tr>
      <w:tr w:rsidR="00932F52">
        <w:trPr>
          <w:trHeight w:val="480"/>
        </w:trPr>
        <w:tc>
          <w:tcPr>
            <w:tcW w:w="3843" w:type="dxa"/>
            <w:tcBorders>
              <w:top w:val="single" w:sz="4" w:space="0" w:color="000000"/>
              <w:left w:val="nil"/>
              <w:bottom w:val="nil"/>
              <w:right w:val="single" w:sz="4" w:space="0" w:color="000000"/>
            </w:tcBorders>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b/>
                <w:color w:val="305496"/>
                <w:sz w:val="16"/>
                <w:szCs w:val="16"/>
              </w:rPr>
              <w:t>Costs</w:t>
            </w:r>
          </w:p>
        </w:tc>
        <w:tc>
          <w:tcPr>
            <w:tcW w:w="1417"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w:t>
            </w:r>
          </w:p>
        </w:tc>
        <w:tc>
          <w:tcPr>
            <w:tcW w:w="1323"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w:t>
            </w:r>
          </w:p>
        </w:tc>
        <w:tc>
          <w:tcPr>
            <w:tcW w:w="1323"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w:t>
            </w:r>
          </w:p>
        </w:tc>
        <w:tc>
          <w:tcPr>
            <w:tcW w:w="1452"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w:t>
            </w:r>
          </w:p>
        </w:tc>
      </w:tr>
      <w:tr w:rsidR="00932F52">
        <w:trPr>
          <w:trHeight w:val="480"/>
        </w:trPr>
        <w:tc>
          <w:tcPr>
            <w:tcW w:w="3843" w:type="dxa"/>
            <w:tcBorders>
              <w:top w:val="nil"/>
              <w:left w:val="nil"/>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color w:val="305496"/>
                <w:sz w:val="16"/>
                <w:szCs w:val="16"/>
              </w:rPr>
              <w:t>200 Traditional Physical Servers</w:t>
            </w:r>
          </w:p>
        </w:tc>
        <w:tc>
          <w:tcPr>
            <w:tcW w:w="1417" w:type="dxa"/>
            <w:tcBorders>
              <w:top w:val="nil"/>
              <w:left w:val="single" w:sz="4" w:space="0" w:color="000000"/>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1,600,000</w:t>
            </w:r>
          </w:p>
        </w:tc>
        <w:tc>
          <w:tcPr>
            <w:tcW w:w="1323" w:type="dxa"/>
            <w:tcBorders>
              <w:top w:val="nil"/>
              <w:left w:val="single" w:sz="4" w:space="0" w:color="000000"/>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  </w:t>
            </w:r>
          </w:p>
        </w:tc>
        <w:tc>
          <w:tcPr>
            <w:tcW w:w="1323" w:type="dxa"/>
            <w:tcBorders>
              <w:top w:val="nil"/>
              <w:left w:val="single" w:sz="4" w:space="0" w:color="000000"/>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  </w:t>
            </w:r>
          </w:p>
        </w:tc>
        <w:tc>
          <w:tcPr>
            <w:tcW w:w="1452" w:type="dxa"/>
            <w:tcBorders>
              <w:top w:val="nil"/>
              <w:left w:val="single" w:sz="4" w:space="0" w:color="000000"/>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1,600,000</w:t>
            </w:r>
          </w:p>
        </w:tc>
      </w:tr>
      <w:tr w:rsidR="00932F52">
        <w:trPr>
          <w:trHeight w:val="480"/>
        </w:trPr>
        <w:tc>
          <w:tcPr>
            <w:tcW w:w="3843" w:type="dxa"/>
            <w:tcBorders>
              <w:top w:val="nil"/>
              <w:left w:val="nil"/>
              <w:bottom w:val="nil"/>
              <w:right w:val="single" w:sz="4" w:space="0" w:color="000000"/>
            </w:tcBorders>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color w:val="305496"/>
                <w:sz w:val="16"/>
                <w:szCs w:val="16"/>
              </w:rPr>
              <w:t xml:space="preserve">80 </w:t>
            </w:r>
            <w:proofErr w:type="spellStart"/>
            <w:r>
              <w:rPr>
                <w:rFonts w:ascii="Calibri" w:eastAsia="Calibri" w:hAnsi="Calibri" w:cs="Calibri"/>
                <w:color w:val="305496"/>
                <w:sz w:val="16"/>
                <w:szCs w:val="16"/>
              </w:rPr>
              <w:t>Vmware</w:t>
            </w:r>
            <w:proofErr w:type="spellEnd"/>
            <w:r>
              <w:rPr>
                <w:rFonts w:ascii="Calibri" w:eastAsia="Calibri" w:hAnsi="Calibri" w:cs="Calibri"/>
                <w:color w:val="305496"/>
                <w:sz w:val="16"/>
                <w:szCs w:val="16"/>
              </w:rPr>
              <w:t xml:space="preserve"> Servers </w:t>
            </w:r>
          </w:p>
        </w:tc>
        <w:tc>
          <w:tcPr>
            <w:tcW w:w="1417" w:type="dxa"/>
            <w:tcBorders>
              <w:top w:val="nil"/>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1,280,000</w:t>
            </w:r>
          </w:p>
        </w:tc>
        <w:tc>
          <w:tcPr>
            <w:tcW w:w="1323" w:type="dxa"/>
            <w:tcBorders>
              <w:top w:val="nil"/>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  </w:t>
            </w:r>
          </w:p>
        </w:tc>
        <w:tc>
          <w:tcPr>
            <w:tcW w:w="1323" w:type="dxa"/>
            <w:tcBorders>
              <w:top w:val="nil"/>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  </w:t>
            </w:r>
          </w:p>
        </w:tc>
        <w:tc>
          <w:tcPr>
            <w:tcW w:w="1452" w:type="dxa"/>
            <w:tcBorders>
              <w:top w:val="nil"/>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1,280,000</w:t>
            </w:r>
          </w:p>
        </w:tc>
      </w:tr>
      <w:tr w:rsidR="00932F52">
        <w:trPr>
          <w:trHeight w:val="480"/>
        </w:trPr>
        <w:tc>
          <w:tcPr>
            <w:tcW w:w="3843" w:type="dxa"/>
            <w:tcBorders>
              <w:top w:val="nil"/>
              <w:left w:val="nil"/>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color w:val="305496"/>
                <w:sz w:val="16"/>
                <w:szCs w:val="16"/>
              </w:rPr>
              <w:t>Maintenance 200 Traditional Servers</w:t>
            </w:r>
          </w:p>
        </w:tc>
        <w:tc>
          <w:tcPr>
            <w:tcW w:w="1417" w:type="dxa"/>
            <w:tcBorders>
              <w:top w:val="nil"/>
              <w:left w:val="single" w:sz="4" w:space="0" w:color="000000"/>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400,000</w:t>
            </w:r>
          </w:p>
        </w:tc>
        <w:tc>
          <w:tcPr>
            <w:tcW w:w="1323" w:type="dxa"/>
            <w:tcBorders>
              <w:top w:val="nil"/>
              <w:left w:val="single" w:sz="4" w:space="0" w:color="000000"/>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400,000</w:t>
            </w:r>
          </w:p>
        </w:tc>
        <w:tc>
          <w:tcPr>
            <w:tcW w:w="1323" w:type="dxa"/>
            <w:tcBorders>
              <w:top w:val="nil"/>
              <w:left w:val="single" w:sz="4" w:space="0" w:color="000000"/>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400,000</w:t>
            </w:r>
          </w:p>
        </w:tc>
        <w:tc>
          <w:tcPr>
            <w:tcW w:w="1452" w:type="dxa"/>
            <w:tcBorders>
              <w:top w:val="nil"/>
              <w:left w:val="single" w:sz="4" w:space="0" w:color="000000"/>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1,200,000</w:t>
            </w:r>
          </w:p>
        </w:tc>
      </w:tr>
      <w:tr w:rsidR="00932F52">
        <w:trPr>
          <w:trHeight w:val="480"/>
        </w:trPr>
        <w:tc>
          <w:tcPr>
            <w:tcW w:w="3843" w:type="dxa"/>
            <w:tcBorders>
              <w:top w:val="nil"/>
              <w:left w:val="nil"/>
              <w:bottom w:val="nil"/>
              <w:right w:val="single" w:sz="4" w:space="0" w:color="000000"/>
            </w:tcBorders>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color w:val="305496"/>
                <w:sz w:val="16"/>
                <w:szCs w:val="16"/>
              </w:rPr>
              <w:t xml:space="preserve">Maintenance 80 </w:t>
            </w:r>
            <w:proofErr w:type="spellStart"/>
            <w:r>
              <w:rPr>
                <w:rFonts w:ascii="Calibri" w:eastAsia="Calibri" w:hAnsi="Calibri" w:cs="Calibri"/>
                <w:color w:val="305496"/>
                <w:sz w:val="16"/>
                <w:szCs w:val="16"/>
              </w:rPr>
              <w:t>Vmware</w:t>
            </w:r>
            <w:proofErr w:type="spellEnd"/>
            <w:r>
              <w:rPr>
                <w:rFonts w:ascii="Calibri" w:eastAsia="Calibri" w:hAnsi="Calibri" w:cs="Calibri"/>
                <w:color w:val="305496"/>
                <w:sz w:val="16"/>
                <w:szCs w:val="16"/>
              </w:rPr>
              <w:t xml:space="preserve"> Servers</w:t>
            </w:r>
          </w:p>
        </w:tc>
        <w:tc>
          <w:tcPr>
            <w:tcW w:w="1417" w:type="dxa"/>
            <w:tcBorders>
              <w:top w:val="nil"/>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240,000</w:t>
            </w:r>
          </w:p>
        </w:tc>
        <w:tc>
          <w:tcPr>
            <w:tcW w:w="1323" w:type="dxa"/>
            <w:tcBorders>
              <w:top w:val="nil"/>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240,000</w:t>
            </w:r>
          </w:p>
        </w:tc>
        <w:tc>
          <w:tcPr>
            <w:tcW w:w="1323" w:type="dxa"/>
            <w:tcBorders>
              <w:top w:val="nil"/>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240,000</w:t>
            </w:r>
          </w:p>
        </w:tc>
        <w:tc>
          <w:tcPr>
            <w:tcW w:w="1452" w:type="dxa"/>
            <w:tcBorders>
              <w:top w:val="nil"/>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720,000</w:t>
            </w:r>
          </w:p>
        </w:tc>
      </w:tr>
      <w:tr w:rsidR="00932F52">
        <w:trPr>
          <w:trHeight w:val="480"/>
        </w:trPr>
        <w:tc>
          <w:tcPr>
            <w:tcW w:w="3843" w:type="dxa"/>
            <w:tcBorders>
              <w:top w:val="nil"/>
              <w:left w:val="nil"/>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b/>
                <w:color w:val="305496"/>
                <w:sz w:val="16"/>
                <w:szCs w:val="16"/>
              </w:rPr>
              <w:t>Total Costs</w:t>
            </w:r>
          </w:p>
        </w:tc>
        <w:tc>
          <w:tcPr>
            <w:tcW w:w="1417" w:type="dxa"/>
            <w:tcBorders>
              <w:top w:val="nil"/>
              <w:left w:val="single" w:sz="4" w:space="0" w:color="000000"/>
              <w:bottom w:val="single" w:sz="4" w:space="0" w:color="000000"/>
              <w:right w:val="nil"/>
            </w:tcBorders>
            <w:shd w:val="clear" w:color="auto" w:fill="F2F2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w:t>
            </w:r>
          </w:p>
        </w:tc>
        <w:tc>
          <w:tcPr>
            <w:tcW w:w="1323" w:type="dxa"/>
            <w:tcBorders>
              <w:top w:val="nil"/>
              <w:left w:val="nil"/>
              <w:bottom w:val="single" w:sz="4" w:space="0" w:color="000000"/>
              <w:right w:val="nil"/>
            </w:tcBorders>
            <w:shd w:val="clear" w:color="auto" w:fill="F2F2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w:t>
            </w:r>
          </w:p>
        </w:tc>
        <w:tc>
          <w:tcPr>
            <w:tcW w:w="1323" w:type="dxa"/>
            <w:tcBorders>
              <w:top w:val="nil"/>
              <w:left w:val="nil"/>
              <w:bottom w:val="single" w:sz="4" w:space="0" w:color="000000"/>
              <w:right w:val="single" w:sz="4" w:space="0" w:color="000000"/>
            </w:tcBorders>
            <w:shd w:val="clear" w:color="auto" w:fill="F2F2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w:t>
            </w:r>
          </w:p>
        </w:tc>
        <w:tc>
          <w:tcPr>
            <w:tcW w:w="1452" w:type="dxa"/>
            <w:tcBorders>
              <w:top w:val="nil"/>
              <w:left w:val="single" w:sz="4" w:space="0" w:color="000000"/>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b/>
                <w:color w:val="305496"/>
                <w:sz w:val="16"/>
                <w:szCs w:val="16"/>
              </w:rPr>
              <w:t xml:space="preserve"> $      4,800,000</w:t>
            </w:r>
          </w:p>
        </w:tc>
      </w:tr>
      <w:tr w:rsidR="00932F52">
        <w:trPr>
          <w:trHeight w:val="480"/>
        </w:trPr>
        <w:tc>
          <w:tcPr>
            <w:tcW w:w="3843" w:type="dxa"/>
            <w:tcBorders>
              <w:top w:val="single" w:sz="4" w:space="0" w:color="000000"/>
              <w:left w:val="nil"/>
              <w:bottom w:val="nil"/>
              <w:right w:val="single" w:sz="4" w:space="0" w:color="000000"/>
            </w:tcBorders>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b/>
                <w:color w:val="305496"/>
                <w:sz w:val="16"/>
                <w:szCs w:val="16"/>
              </w:rPr>
              <w:t>Cost Benefits</w:t>
            </w:r>
          </w:p>
        </w:tc>
        <w:tc>
          <w:tcPr>
            <w:tcW w:w="1417"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w:t>
            </w:r>
          </w:p>
        </w:tc>
        <w:tc>
          <w:tcPr>
            <w:tcW w:w="1323"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w:t>
            </w:r>
          </w:p>
        </w:tc>
        <w:tc>
          <w:tcPr>
            <w:tcW w:w="1323" w:type="dxa"/>
            <w:tcBorders>
              <w:top w:val="single" w:sz="4" w:space="0" w:color="000000"/>
              <w:left w:val="nil"/>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w:t>
            </w:r>
          </w:p>
        </w:tc>
        <w:tc>
          <w:tcPr>
            <w:tcW w:w="1452" w:type="dxa"/>
            <w:tcBorders>
              <w:top w:val="single" w:sz="4" w:space="0" w:color="000000"/>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w:t>
            </w:r>
          </w:p>
        </w:tc>
      </w:tr>
      <w:tr w:rsidR="00932F52">
        <w:trPr>
          <w:trHeight w:val="480"/>
        </w:trPr>
        <w:tc>
          <w:tcPr>
            <w:tcW w:w="3843" w:type="dxa"/>
            <w:tcBorders>
              <w:top w:val="nil"/>
              <w:left w:val="nil"/>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color w:val="305496"/>
                <w:sz w:val="16"/>
                <w:szCs w:val="16"/>
              </w:rPr>
              <w:t>1000 Servers (Elimination)</w:t>
            </w:r>
          </w:p>
        </w:tc>
        <w:tc>
          <w:tcPr>
            <w:tcW w:w="1417" w:type="dxa"/>
            <w:tcBorders>
              <w:top w:val="nil"/>
              <w:left w:val="single" w:sz="4" w:space="0" w:color="000000"/>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8,000,000</w:t>
            </w:r>
          </w:p>
        </w:tc>
        <w:tc>
          <w:tcPr>
            <w:tcW w:w="1323" w:type="dxa"/>
            <w:tcBorders>
              <w:top w:val="nil"/>
              <w:left w:val="single" w:sz="4" w:space="0" w:color="000000"/>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w:t>
            </w:r>
            <w:r>
              <w:rPr>
                <w:rFonts w:ascii="Calibri" w:eastAsia="Calibri" w:hAnsi="Calibri" w:cs="Calibri"/>
                <w:color w:val="305496"/>
                <w:sz w:val="16"/>
                <w:szCs w:val="16"/>
              </w:rPr>
              <w:tab/>
              <w:t xml:space="preserve">-  </w:t>
            </w:r>
          </w:p>
        </w:tc>
        <w:tc>
          <w:tcPr>
            <w:tcW w:w="1323" w:type="dxa"/>
            <w:tcBorders>
              <w:top w:val="nil"/>
              <w:left w:val="single" w:sz="4" w:space="0" w:color="000000"/>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w:t>
            </w:r>
            <w:r>
              <w:rPr>
                <w:rFonts w:ascii="Calibri" w:eastAsia="Calibri" w:hAnsi="Calibri" w:cs="Calibri"/>
                <w:color w:val="305496"/>
                <w:sz w:val="16"/>
                <w:szCs w:val="16"/>
              </w:rPr>
              <w:tab/>
              <w:t xml:space="preserve">-  </w:t>
            </w:r>
          </w:p>
        </w:tc>
        <w:tc>
          <w:tcPr>
            <w:tcW w:w="1452" w:type="dxa"/>
            <w:tcBorders>
              <w:top w:val="nil"/>
              <w:left w:val="nil"/>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8,000,000</w:t>
            </w:r>
          </w:p>
        </w:tc>
      </w:tr>
      <w:tr w:rsidR="00932F52">
        <w:trPr>
          <w:trHeight w:val="480"/>
        </w:trPr>
        <w:tc>
          <w:tcPr>
            <w:tcW w:w="3843" w:type="dxa"/>
            <w:tcBorders>
              <w:top w:val="nil"/>
              <w:left w:val="nil"/>
              <w:bottom w:val="nil"/>
              <w:right w:val="single" w:sz="4" w:space="0" w:color="000000"/>
            </w:tcBorders>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color w:val="305496"/>
                <w:sz w:val="16"/>
                <w:szCs w:val="16"/>
              </w:rPr>
              <w:t xml:space="preserve">1000 Traditional Servers Maintenance (Elimination) </w:t>
            </w:r>
          </w:p>
        </w:tc>
        <w:tc>
          <w:tcPr>
            <w:tcW w:w="1417" w:type="dxa"/>
            <w:tcBorders>
              <w:top w:val="nil"/>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2,000,000</w:t>
            </w:r>
          </w:p>
        </w:tc>
        <w:tc>
          <w:tcPr>
            <w:tcW w:w="1323" w:type="dxa"/>
            <w:tcBorders>
              <w:top w:val="nil"/>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2,000,000</w:t>
            </w:r>
          </w:p>
        </w:tc>
        <w:tc>
          <w:tcPr>
            <w:tcW w:w="1323" w:type="dxa"/>
            <w:tcBorders>
              <w:top w:val="nil"/>
              <w:left w:val="single" w:sz="4" w:space="0" w:color="000000"/>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2,000,000</w:t>
            </w:r>
          </w:p>
        </w:tc>
        <w:tc>
          <w:tcPr>
            <w:tcW w:w="1452" w:type="dxa"/>
            <w:tcBorders>
              <w:top w:val="nil"/>
              <w:left w:val="nil"/>
              <w:bottom w:val="nil"/>
              <w:right w:val="single" w:sz="4" w:space="0" w:color="000000"/>
            </w:tcBorders>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          6,000,000</w:t>
            </w:r>
          </w:p>
        </w:tc>
      </w:tr>
      <w:tr w:rsidR="00932F52">
        <w:trPr>
          <w:trHeight w:val="480"/>
        </w:trPr>
        <w:tc>
          <w:tcPr>
            <w:tcW w:w="3843" w:type="dxa"/>
            <w:tcBorders>
              <w:top w:val="nil"/>
              <w:left w:val="nil"/>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b/>
                <w:color w:val="305496"/>
                <w:sz w:val="16"/>
                <w:szCs w:val="16"/>
              </w:rPr>
              <w:t>Total Benefits</w:t>
            </w:r>
          </w:p>
        </w:tc>
        <w:tc>
          <w:tcPr>
            <w:tcW w:w="1417" w:type="dxa"/>
            <w:tcBorders>
              <w:top w:val="nil"/>
              <w:left w:val="nil"/>
              <w:bottom w:val="nil"/>
              <w:right w:val="nil"/>
            </w:tcBorders>
            <w:shd w:val="clear" w:color="auto" w:fill="F2F2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w:t>
            </w:r>
          </w:p>
        </w:tc>
        <w:tc>
          <w:tcPr>
            <w:tcW w:w="1323" w:type="dxa"/>
            <w:tcBorders>
              <w:top w:val="nil"/>
              <w:left w:val="nil"/>
              <w:bottom w:val="nil"/>
              <w:right w:val="nil"/>
            </w:tcBorders>
            <w:shd w:val="clear" w:color="auto" w:fill="F2F2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w:t>
            </w:r>
          </w:p>
        </w:tc>
        <w:tc>
          <w:tcPr>
            <w:tcW w:w="1323" w:type="dxa"/>
            <w:tcBorders>
              <w:top w:val="nil"/>
              <w:left w:val="nil"/>
              <w:bottom w:val="single" w:sz="4" w:space="0" w:color="000000"/>
              <w:right w:val="single" w:sz="4" w:space="0" w:color="000000"/>
            </w:tcBorders>
            <w:shd w:val="clear" w:color="auto" w:fill="F2F2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color w:val="305496"/>
                <w:sz w:val="16"/>
                <w:szCs w:val="16"/>
              </w:rPr>
              <w:t xml:space="preserve"> </w:t>
            </w:r>
          </w:p>
        </w:tc>
        <w:tc>
          <w:tcPr>
            <w:tcW w:w="1452" w:type="dxa"/>
            <w:tcBorders>
              <w:top w:val="nil"/>
              <w:left w:val="nil"/>
              <w:bottom w:val="nil"/>
              <w:right w:val="single" w:sz="4" w:space="0" w:color="000000"/>
            </w:tcBorders>
            <w:shd w:val="clear" w:color="auto" w:fill="D9E1F2"/>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b/>
                <w:color w:val="305496"/>
                <w:sz w:val="16"/>
                <w:szCs w:val="16"/>
              </w:rPr>
              <w:t xml:space="preserve"> $        14,000,000</w:t>
            </w:r>
          </w:p>
        </w:tc>
      </w:tr>
      <w:tr w:rsidR="00932F52">
        <w:trPr>
          <w:trHeight w:val="320"/>
        </w:trPr>
        <w:tc>
          <w:tcPr>
            <w:tcW w:w="3843" w:type="dxa"/>
            <w:tcBorders>
              <w:top w:val="single" w:sz="4" w:space="0" w:color="000000"/>
              <w:left w:val="nil"/>
              <w:bottom w:val="single" w:sz="4" w:space="0" w:color="4472C4"/>
              <w:right w:val="single" w:sz="4" w:space="0" w:color="000000"/>
            </w:tcBorders>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b/>
                <w:color w:val="305496"/>
                <w:sz w:val="16"/>
                <w:szCs w:val="16"/>
              </w:rPr>
              <w:t>NET BENEFITS</w:t>
            </w:r>
          </w:p>
        </w:tc>
        <w:tc>
          <w:tcPr>
            <w:tcW w:w="1417" w:type="dxa"/>
            <w:tcBorders>
              <w:top w:val="single" w:sz="4" w:space="0" w:color="000000"/>
              <w:left w:val="nil"/>
              <w:bottom w:val="single" w:sz="4" w:space="0" w:color="4472C4"/>
              <w:right w:val="nil"/>
            </w:tcBorders>
            <w:shd w:val="clear" w:color="auto" w:fill="F2F2F2"/>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color w:val="305496"/>
                <w:sz w:val="16"/>
                <w:szCs w:val="16"/>
              </w:rPr>
              <w:t xml:space="preserve"> </w:t>
            </w:r>
          </w:p>
        </w:tc>
        <w:tc>
          <w:tcPr>
            <w:tcW w:w="1323" w:type="dxa"/>
            <w:tcBorders>
              <w:top w:val="single" w:sz="4" w:space="0" w:color="000000"/>
              <w:left w:val="nil"/>
              <w:bottom w:val="single" w:sz="4" w:space="0" w:color="4472C4"/>
              <w:right w:val="nil"/>
            </w:tcBorders>
            <w:shd w:val="clear" w:color="auto" w:fill="F2F2F2"/>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color w:val="305496"/>
                <w:sz w:val="16"/>
                <w:szCs w:val="16"/>
              </w:rPr>
              <w:t xml:space="preserve"> </w:t>
            </w:r>
          </w:p>
        </w:tc>
        <w:tc>
          <w:tcPr>
            <w:tcW w:w="1323" w:type="dxa"/>
            <w:tcBorders>
              <w:top w:val="single" w:sz="4" w:space="0" w:color="000000"/>
              <w:left w:val="nil"/>
              <w:bottom w:val="single" w:sz="4" w:space="0" w:color="4472C4"/>
              <w:right w:val="nil"/>
            </w:tcBorders>
            <w:shd w:val="clear" w:color="auto" w:fill="F2F2F2"/>
            <w:tcMar>
              <w:top w:w="100" w:type="dxa"/>
              <w:left w:w="100" w:type="dxa"/>
              <w:bottom w:w="100" w:type="dxa"/>
              <w:right w:w="100" w:type="dxa"/>
            </w:tcMar>
          </w:tcPr>
          <w:p w:rsidR="00932F52" w:rsidRDefault="0010243E">
            <w:pPr>
              <w:widowControl w:val="0"/>
              <w:rPr>
                <w:sz w:val="16"/>
                <w:szCs w:val="16"/>
              </w:rPr>
            </w:pPr>
            <w:r>
              <w:rPr>
                <w:rFonts w:ascii="Calibri" w:eastAsia="Calibri" w:hAnsi="Calibri" w:cs="Calibri"/>
                <w:color w:val="305496"/>
                <w:sz w:val="16"/>
                <w:szCs w:val="16"/>
              </w:rPr>
              <w:t xml:space="preserve"> </w:t>
            </w:r>
          </w:p>
        </w:tc>
        <w:tc>
          <w:tcPr>
            <w:tcW w:w="1452" w:type="dxa"/>
            <w:tcBorders>
              <w:top w:val="single" w:sz="4" w:space="0" w:color="000000"/>
              <w:left w:val="nil"/>
              <w:bottom w:val="single" w:sz="4" w:space="0" w:color="4472C4"/>
              <w:right w:val="nil"/>
            </w:tcBorders>
            <w:shd w:val="clear" w:color="auto" w:fill="FFFF00"/>
            <w:tcMar>
              <w:top w:w="100" w:type="dxa"/>
              <w:left w:w="100" w:type="dxa"/>
              <w:bottom w:w="100" w:type="dxa"/>
              <w:right w:w="100" w:type="dxa"/>
            </w:tcMar>
          </w:tcPr>
          <w:p w:rsidR="00932F52" w:rsidRDefault="0010243E">
            <w:pPr>
              <w:widowControl w:val="0"/>
              <w:jc w:val="right"/>
              <w:rPr>
                <w:sz w:val="16"/>
                <w:szCs w:val="16"/>
              </w:rPr>
            </w:pPr>
            <w:r>
              <w:rPr>
                <w:rFonts w:ascii="Calibri" w:eastAsia="Calibri" w:hAnsi="Calibri" w:cs="Calibri"/>
                <w:b/>
                <w:color w:val="305496"/>
                <w:sz w:val="16"/>
                <w:szCs w:val="16"/>
              </w:rPr>
              <w:t xml:space="preserve"> $      9,200,000</w:t>
            </w:r>
          </w:p>
        </w:tc>
      </w:tr>
    </w:tbl>
    <w:p w:rsidR="00932F52" w:rsidRDefault="00932F52">
      <w:pPr>
        <w:jc w:val="center"/>
        <w:rPr>
          <w:sz w:val="16"/>
          <w:szCs w:val="16"/>
        </w:rPr>
      </w:pPr>
    </w:p>
    <w:p w:rsidR="00932F52" w:rsidRDefault="0010243E">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“Physical Servers vs Virtual Machines - How backups work.” </w:t>
      </w:r>
      <w:proofErr w:type="spellStart"/>
      <w:r>
        <w:rPr>
          <w:rFonts w:ascii="Times New Roman" w:eastAsia="Times New Roman" w:hAnsi="Times New Roman" w:cs="Times New Roman"/>
          <w:i/>
          <w:color w:val="333333"/>
          <w:sz w:val="24"/>
          <w:szCs w:val="24"/>
        </w:rPr>
        <w:t>Veeam</w:t>
      </w:r>
      <w:proofErr w:type="spellEnd"/>
      <w:r>
        <w:rPr>
          <w:rFonts w:ascii="Times New Roman" w:eastAsia="Times New Roman" w:hAnsi="Times New Roman" w:cs="Times New Roman"/>
          <w:i/>
          <w:color w:val="333333"/>
          <w:sz w:val="24"/>
          <w:szCs w:val="24"/>
        </w:rPr>
        <w:t xml:space="preserve"> Software Official Blog</w:t>
      </w:r>
      <w:r>
        <w:rPr>
          <w:rFonts w:ascii="Times New Roman" w:eastAsia="Times New Roman" w:hAnsi="Times New Roman" w:cs="Times New Roman"/>
          <w:color w:val="333333"/>
          <w:sz w:val="24"/>
          <w:szCs w:val="24"/>
        </w:rPr>
        <w:t xml:space="preserve">, 30 Nov. 2017, </w:t>
      </w:r>
      <w:hyperlink r:id="rId6">
        <w:r>
          <w:rPr>
            <w:rFonts w:ascii="Times New Roman" w:eastAsia="Times New Roman" w:hAnsi="Times New Roman" w:cs="Times New Roman"/>
            <w:color w:val="1155CC"/>
            <w:sz w:val="24"/>
            <w:szCs w:val="24"/>
            <w:u w:val="single"/>
          </w:rPr>
          <w:t>www.veeam.com/blog/why-virtual-machine-backups-different.html</w:t>
        </w:r>
      </w:hyperlink>
      <w:r>
        <w:rPr>
          <w:rFonts w:ascii="Times New Roman" w:eastAsia="Times New Roman" w:hAnsi="Times New Roman" w:cs="Times New Roman"/>
          <w:color w:val="333333"/>
          <w:sz w:val="24"/>
          <w:szCs w:val="24"/>
        </w:rPr>
        <w:t>.</w:t>
      </w:r>
    </w:p>
    <w:p w:rsidR="00932F52" w:rsidRDefault="00932F52">
      <w:pPr>
        <w:jc w:val="center"/>
        <w:rPr>
          <w:rFonts w:ascii="Times New Roman" w:eastAsia="Times New Roman" w:hAnsi="Times New Roman" w:cs="Times New Roman"/>
          <w:color w:val="333333"/>
          <w:sz w:val="24"/>
          <w:szCs w:val="24"/>
        </w:rPr>
      </w:pPr>
    </w:p>
    <w:p w:rsidR="00932F52" w:rsidRDefault="0010243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Marshall, David. “Top 10 benefits of server virtualization.” </w:t>
      </w:r>
      <w:r>
        <w:rPr>
          <w:rFonts w:ascii="Times New Roman" w:eastAsia="Times New Roman" w:hAnsi="Times New Roman" w:cs="Times New Roman"/>
          <w:i/>
          <w:color w:val="333333"/>
          <w:sz w:val="24"/>
          <w:szCs w:val="24"/>
        </w:rPr>
        <w:t>InfoWorld</w:t>
      </w:r>
      <w:r>
        <w:rPr>
          <w:rFonts w:ascii="Times New Roman" w:eastAsia="Times New Roman" w:hAnsi="Times New Roman" w:cs="Times New Roman"/>
          <w:color w:val="333333"/>
          <w:sz w:val="24"/>
          <w:szCs w:val="24"/>
        </w:rPr>
        <w:t xml:space="preserve">, InfoWorld, 2 Nov. 2011, </w:t>
      </w:r>
      <w:hyperlink r:id="rId7">
        <w:r>
          <w:rPr>
            <w:rFonts w:ascii="Times New Roman" w:eastAsia="Times New Roman" w:hAnsi="Times New Roman" w:cs="Times New Roman"/>
            <w:color w:val="1155CC"/>
            <w:sz w:val="24"/>
            <w:szCs w:val="24"/>
            <w:u w:val="single"/>
          </w:rPr>
          <w:t>www.infoworld.com/article/2621446/server-virtualization/server-virtualization-top-10-benefits-of-server-virtualization.html</w:t>
        </w:r>
      </w:hyperlink>
      <w:r>
        <w:rPr>
          <w:rFonts w:ascii="Times New Roman" w:eastAsia="Times New Roman" w:hAnsi="Times New Roman" w:cs="Times New Roman"/>
          <w:color w:val="333333"/>
          <w:sz w:val="24"/>
          <w:szCs w:val="24"/>
        </w:rPr>
        <w:t>.</w:t>
      </w:r>
    </w:p>
    <w:p w:rsidR="00932F52" w:rsidRDefault="00932F52">
      <w:pPr>
        <w:rPr>
          <w:rFonts w:ascii="Times New Roman" w:eastAsia="Times New Roman" w:hAnsi="Times New Roman" w:cs="Times New Roman"/>
          <w:color w:val="333333"/>
          <w:sz w:val="24"/>
          <w:szCs w:val="24"/>
        </w:rPr>
      </w:pPr>
    </w:p>
    <w:p w:rsidR="00932F52" w:rsidRDefault="0010243E">
      <w:pPr>
        <w:rPr>
          <w:color w:val="333333"/>
          <w:sz w:val="21"/>
          <w:szCs w:val="21"/>
        </w:rPr>
      </w:pPr>
      <w:r>
        <w:rPr>
          <w:color w:val="333333"/>
          <w:sz w:val="21"/>
          <w:szCs w:val="21"/>
        </w:rPr>
        <w:t xml:space="preserve">Ullman, Ellen. “5 Reasons to Switch to Virtual Servers.” </w:t>
      </w:r>
      <w:r>
        <w:rPr>
          <w:i/>
          <w:color w:val="333333"/>
          <w:sz w:val="21"/>
          <w:szCs w:val="21"/>
        </w:rPr>
        <w:t>University Business</w:t>
      </w:r>
      <w:r>
        <w:rPr>
          <w:i/>
          <w:color w:val="333333"/>
          <w:sz w:val="21"/>
          <w:szCs w:val="21"/>
        </w:rPr>
        <w:t xml:space="preserve"> Magazine</w:t>
      </w:r>
      <w:r>
        <w:rPr>
          <w:color w:val="333333"/>
          <w:sz w:val="21"/>
          <w:szCs w:val="21"/>
        </w:rPr>
        <w:t xml:space="preserve">, 15 Oct. 2011, </w:t>
      </w:r>
      <w:hyperlink r:id="rId8">
        <w:r>
          <w:rPr>
            <w:color w:val="1155CC"/>
            <w:sz w:val="21"/>
            <w:szCs w:val="21"/>
            <w:u w:val="single"/>
          </w:rPr>
          <w:t>www.universitybusiness.com/article/5-reasons-switch-virtual-servers</w:t>
        </w:r>
      </w:hyperlink>
      <w:r>
        <w:rPr>
          <w:color w:val="333333"/>
          <w:sz w:val="21"/>
          <w:szCs w:val="21"/>
        </w:rPr>
        <w:t>.</w:t>
      </w:r>
    </w:p>
    <w:p w:rsidR="00932F52" w:rsidRDefault="00932F52">
      <w:pPr>
        <w:rPr>
          <w:color w:val="333333"/>
          <w:sz w:val="21"/>
          <w:szCs w:val="21"/>
          <w:shd w:val="clear" w:color="auto" w:fill="F1F4F5"/>
        </w:rPr>
      </w:pPr>
    </w:p>
    <w:p w:rsidR="00932F52" w:rsidRDefault="00932F52"/>
    <w:sectPr w:rsidR="00932F52">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43E" w:rsidRDefault="0010243E">
      <w:pPr>
        <w:spacing w:line="240" w:lineRule="auto"/>
      </w:pPr>
      <w:r>
        <w:separator/>
      </w:r>
    </w:p>
  </w:endnote>
  <w:endnote w:type="continuationSeparator" w:id="0">
    <w:p w:rsidR="0010243E" w:rsidRDefault="00102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43E" w:rsidRDefault="0010243E">
      <w:pPr>
        <w:spacing w:line="240" w:lineRule="auto"/>
      </w:pPr>
      <w:r>
        <w:separator/>
      </w:r>
    </w:p>
  </w:footnote>
  <w:footnote w:type="continuationSeparator" w:id="0">
    <w:p w:rsidR="0010243E" w:rsidRDefault="001024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52" w:rsidRDefault="00932F52"/>
  <w:p w:rsidR="00932F52" w:rsidRDefault="00932F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2F52"/>
    <w:rsid w:val="0010243E"/>
    <w:rsid w:val="001C25E3"/>
    <w:rsid w:val="0093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6BD4"/>
  <w15:docId w15:val="{59CC39F6-B064-4829-94C4-FD4036F8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iversitybusiness.com/article/5-reasons-switch-virtual-servers" TargetMode="External"/><Relationship Id="rId3" Type="http://schemas.openxmlformats.org/officeDocument/2006/relationships/webSettings" Target="webSettings.xml"/><Relationship Id="rId7" Type="http://schemas.openxmlformats.org/officeDocument/2006/relationships/hyperlink" Target="http://www.infoworld.com/article/2621446/server-virtualization/server-virtualization-top-10-benefits-of-server-virtualiza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eam.com/blog/why-virtual-machine-backups-differen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Castaneda Escorcia, Ariana</cp:lastModifiedBy>
  <cp:revision>2</cp:revision>
  <dcterms:created xsi:type="dcterms:W3CDTF">2018-03-01T01:30:00Z</dcterms:created>
  <dcterms:modified xsi:type="dcterms:W3CDTF">2018-03-01T01:30:00Z</dcterms:modified>
</cp:coreProperties>
</file>