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B35" w:rsidRPr="00FE78AF" w:rsidRDefault="00C61B35" w:rsidP="00FE78AF">
      <w:pPr>
        <w:spacing w:line="480" w:lineRule="auto"/>
        <w:rPr>
          <w:rFonts w:ascii="Times New Roman" w:hAnsi="Times New Roman" w:cs="Times New Roman"/>
        </w:rPr>
      </w:pPr>
      <w:r w:rsidRPr="00FE78AF">
        <w:rPr>
          <w:rFonts w:ascii="Times New Roman" w:hAnsi="Times New Roman" w:cs="Times New Roman"/>
        </w:rPr>
        <w:t>Ahmad Ibrahim</w:t>
      </w:r>
    </w:p>
    <w:p w:rsidR="00C61B35" w:rsidRPr="00FE78AF" w:rsidRDefault="00C61B35" w:rsidP="00FE78AF">
      <w:pPr>
        <w:spacing w:line="480" w:lineRule="auto"/>
        <w:rPr>
          <w:rFonts w:ascii="Times New Roman" w:hAnsi="Times New Roman" w:cs="Times New Roman"/>
        </w:rPr>
      </w:pPr>
      <w:r w:rsidRPr="00FE78AF">
        <w:rPr>
          <w:rFonts w:ascii="Times New Roman" w:hAnsi="Times New Roman" w:cs="Times New Roman"/>
        </w:rPr>
        <w:t>MIS 2501</w:t>
      </w:r>
    </w:p>
    <w:p w:rsidR="00C61B35" w:rsidRPr="00FE78AF" w:rsidRDefault="00C61B35" w:rsidP="00FE78AF">
      <w:pPr>
        <w:spacing w:line="480" w:lineRule="auto"/>
        <w:rPr>
          <w:rFonts w:ascii="Times New Roman" w:hAnsi="Times New Roman" w:cs="Times New Roman"/>
        </w:rPr>
      </w:pPr>
      <w:r w:rsidRPr="00FE78AF">
        <w:rPr>
          <w:rFonts w:ascii="Times New Roman" w:hAnsi="Times New Roman" w:cs="Times New Roman"/>
        </w:rPr>
        <w:t>April 24, 2018</w:t>
      </w:r>
    </w:p>
    <w:p w:rsidR="00C61B35" w:rsidRPr="00FE78AF" w:rsidRDefault="00C61B35" w:rsidP="00FE78AF">
      <w:pPr>
        <w:spacing w:line="480" w:lineRule="auto"/>
        <w:rPr>
          <w:rFonts w:ascii="Times New Roman" w:hAnsi="Times New Roman" w:cs="Times New Roman"/>
        </w:rPr>
      </w:pPr>
      <w:r w:rsidRPr="00FE78AF">
        <w:rPr>
          <w:rFonts w:ascii="Times New Roman" w:hAnsi="Times New Roman" w:cs="Times New Roman"/>
        </w:rPr>
        <w:t>CIO Mart Doyle</w:t>
      </w:r>
    </w:p>
    <w:p w:rsidR="00C61B35" w:rsidRDefault="00C61B35" w:rsidP="00FE78AF">
      <w:pPr>
        <w:spacing w:line="480" w:lineRule="auto"/>
        <w:jc w:val="center"/>
        <w:rPr>
          <w:rFonts w:ascii="Times New Roman" w:hAnsi="Times New Roman" w:cs="Times New Roman"/>
        </w:rPr>
      </w:pPr>
      <w:r w:rsidRPr="00FE78AF">
        <w:rPr>
          <w:rFonts w:ascii="Times New Roman" w:hAnsi="Times New Roman" w:cs="Times New Roman"/>
        </w:rPr>
        <w:t>SharePoint</w:t>
      </w:r>
    </w:p>
    <w:p w:rsidR="00430FBB" w:rsidRPr="00FE78AF" w:rsidRDefault="00430FBB" w:rsidP="00FE78AF">
      <w:pPr>
        <w:spacing w:line="480" w:lineRule="auto"/>
        <w:jc w:val="center"/>
        <w:rPr>
          <w:rFonts w:ascii="Times New Roman" w:hAnsi="Times New Roman" w:cs="Times New Roman"/>
        </w:rPr>
      </w:pPr>
    </w:p>
    <w:p w:rsidR="00C61B35" w:rsidRPr="00FE78AF" w:rsidRDefault="00B8576F" w:rsidP="00FE78AF">
      <w:pPr>
        <w:spacing w:line="480" w:lineRule="auto"/>
        <w:ind w:firstLine="720"/>
        <w:rPr>
          <w:rFonts w:ascii="Times New Roman" w:hAnsi="Times New Roman" w:cs="Times New Roman"/>
        </w:rPr>
      </w:pPr>
      <w:r w:rsidRPr="00FE78AF">
        <w:rPr>
          <w:rFonts w:ascii="Times New Roman" w:hAnsi="Times New Roman" w:cs="Times New Roman"/>
        </w:rPr>
        <w:t>Implementing SharePoint will result in a net benefit of $1.85 million within 3 years.</w:t>
      </w:r>
      <w:r w:rsidR="00F638CB" w:rsidRPr="00FE78AF">
        <w:rPr>
          <w:rFonts w:ascii="Times New Roman" w:hAnsi="Times New Roman" w:cs="Times New Roman"/>
        </w:rPr>
        <w:t xml:space="preserve"> SharePoint will increase </w:t>
      </w:r>
      <w:r w:rsidR="003D56B5" w:rsidRPr="00FE78AF">
        <w:rPr>
          <w:rFonts w:ascii="Times New Roman" w:hAnsi="Times New Roman" w:cs="Times New Roman"/>
        </w:rPr>
        <w:t xml:space="preserve">efficiency and </w:t>
      </w:r>
      <w:r w:rsidR="00F638CB" w:rsidRPr="00FE78AF">
        <w:rPr>
          <w:rFonts w:ascii="Times New Roman" w:hAnsi="Times New Roman" w:cs="Times New Roman"/>
        </w:rPr>
        <w:t xml:space="preserve">productivity </w:t>
      </w:r>
      <w:r w:rsidR="00B21100" w:rsidRPr="00FE78AF">
        <w:rPr>
          <w:rFonts w:ascii="Times New Roman" w:hAnsi="Times New Roman" w:cs="Times New Roman"/>
        </w:rPr>
        <w:t>for</w:t>
      </w:r>
      <w:r w:rsidR="003D56B5" w:rsidRPr="00FE78AF">
        <w:rPr>
          <w:rFonts w:ascii="Times New Roman" w:hAnsi="Times New Roman" w:cs="Times New Roman"/>
        </w:rPr>
        <w:t xml:space="preserve"> the PMPs</w:t>
      </w:r>
      <w:r w:rsidR="009E20FE">
        <w:rPr>
          <w:rFonts w:ascii="Times New Roman" w:hAnsi="Times New Roman" w:cs="Times New Roman"/>
        </w:rPr>
        <w:t xml:space="preserve"> by enabling </w:t>
      </w:r>
      <w:r w:rsidR="009E20FE" w:rsidRPr="00FE78AF">
        <w:rPr>
          <w:rFonts w:ascii="Times New Roman" w:hAnsi="Times New Roman" w:cs="Times New Roman"/>
        </w:rPr>
        <w:t>file sharing, data, news and resources</w:t>
      </w:r>
      <w:r w:rsidR="003D56B5" w:rsidRPr="00FE78AF">
        <w:rPr>
          <w:rFonts w:ascii="Times New Roman" w:hAnsi="Times New Roman" w:cs="Times New Roman"/>
        </w:rPr>
        <w:t xml:space="preserve">. </w:t>
      </w:r>
      <w:r w:rsidR="004625DA">
        <w:rPr>
          <w:rFonts w:ascii="Times New Roman" w:hAnsi="Times New Roman" w:cs="Times New Roman"/>
        </w:rPr>
        <w:t xml:space="preserve">This </w:t>
      </w:r>
      <w:r w:rsidR="009E20FE">
        <w:rPr>
          <w:rFonts w:ascii="Times New Roman" w:hAnsi="Times New Roman" w:cs="Times New Roman"/>
        </w:rPr>
        <w:t>will allow</w:t>
      </w:r>
      <w:r w:rsidR="00A9418E">
        <w:rPr>
          <w:rFonts w:ascii="Times New Roman" w:hAnsi="Times New Roman" w:cs="Times New Roman"/>
        </w:rPr>
        <w:t xml:space="preserve"> PMPs to increase billable hours by 4,000.</w:t>
      </w:r>
    </w:p>
    <w:p w:rsidR="00A43782" w:rsidRPr="00FE78AF" w:rsidRDefault="00A43782" w:rsidP="00FE78AF">
      <w:pPr>
        <w:spacing w:line="480" w:lineRule="auto"/>
        <w:rPr>
          <w:rFonts w:ascii="Times New Roman" w:hAnsi="Times New Roman" w:cs="Times New Roman"/>
        </w:rPr>
      </w:pPr>
    </w:p>
    <w:p w:rsidR="00FA62FD" w:rsidRDefault="00A43782" w:rsidP="00CA6CA1">
      <w:pPr>
        <w:spacing w:line="480" w:lineRule="auto"/>
        <w:ind w:firstLine="720"/>
        <w:rPr>
          <w:rFonts w:ascii="Times New Roman" w:hAnsi="Times New Roman" w:cs="Times New Roman"/>
        </w:rPr>
      </w:pPr>
      <w:r w:rsidRPr="00FE78AF">
        <w:rPr>
          <w:rFonts w:ascii="Times New Roman" w:hAnsi="Times New Roman" w:cs="Times New Roman"/>
        </w:rPr>
        <w:t>Shar</w:t>
      </w:r>
      <w:r w:rsidR="00B74000" w:rsidRPr="00FE78AF">
        <w:rPr>
          <w:rFonts w:ascii="Times New Roman" w:hAnsi="Times New Roman" w:cs="Times New Roman"/>
        </w:rPr>
        <w:t>e</w:t>
      </w:r>
      <w:r w:rsidRPr="00FE78AF">
        <w:rPr>
          <w:rFonts w:ascii="Times New Roman" w:hAnsi="Times New Roman" w:cs="Times New Roman"/>
        </w:rPr>
        <w:t xml:space="preserve">Point </w:t>
      </w:r>
      <w:r w:rsidR="00B74000" w:rsidRPr="00FE78AF">
        <w:rPr>
          <w:rFonts w:ascii="Times New Roman" w:hAnsi="Times New Roman" w:cs="Times New Roman"/>
        </w:rPr>
        <w:t xml:space="preserve">is a </w:t>
      </w:r>
      <w:r w:rsidR="00E86E99" w:rsidRPr="00FE78AF">
        <w:rPr>
          <w:rFonts w:ascii="Times New Roman" w:hAnsi="Times New Roman" w:cs="Times New Roman"/>
        </w:rPr>
        <w:t xml:space="preserve">Microsoft </w:t>
      </w:r>
      <w:r w:rsidR="00E67D6A">
        <w:rPr>
          <w:rFonts w:ascii="Times New Roman" w:hAnsi="Times New Roman" w:cs="Times New Roman"/>
        </w:rPr>
        <w:t xml:space="preserve">platform that </w:t>
      </w:r>
      <w:r w:rsidR="00E3160B">
        <w:rPr>
          <w:rFonts w:ascii="Times New Roman" w:hAnsi="Times New Roman" w:cs="Times New Roman"/>
        </w:rPr>
        <w:t>shares content and makes it easy to find information</w:t>
      </w:r>
      <w:r w:rsidR="0095422D" w:rsidRPr="00FE78AF">
        <w:rPr>
          <w:rFonts w:ascii="Times New Roman" w:hAnsi="Times New Roman" w:cs="Times New Roman"/>
        </w:rPr>
        <w:t xml:space="preserve">. The key capabilities are </w:t>
      </w:r>
      <w:r w:rsidR="00F33CCF" w:rsidRPr="00FE78AF">
        <w:rPr>
          <w:rFonts w:ascii="Times New Roman" w:hAnsi="Times New Roman" w:cs="Times New Roman"/>
        </w:rPr>
        <w:t>sharing and editing files easily</w:t>
      </w:r>
      <w:r w:rsidR="0095422D" w:rsidRPr="00FE78AF">
        <w:rPr>
          <w:rFonts w:ascii="Times New Roman" w:hAnsi="Times New Roman" w:cs="Times New Roman"/>
        </w:rPr>
        <w:t xml:space="preserve"> with the team</w:t>
      </w:r>
      <w:r w:rsidR="00F33CCF" w:rsidRPr="00FE78AF">
        <w:rPr>
          <w:rFonts w:ascii="Times New Roman" w:hAnsi="Times New Roman" w:cs="Times New Roman"/>
        </w:rPr>
        <w:t xml:space="preserve">. </w:t>
      </w:r>
      <w:r w:rsidR="00E3160B">
        <w:rPr>
          <w:rFonts w:ascii="Times New Roman" w:hAnsi="Times New Roman" w:cs="Times New Roman"/>
        </w:rPr>
        <w:t xml:space="preserve">This can be </w:t>
      </w:r>
      <w:r w:rsidR="000954CE">
        <w:rPr>
          <w:rFonts w:ascii="Times New Roman" w:hAnsi="Times New Roman" w:cs="Times New Roman"/>
        </w:rPr>
        <w:t>beneficial</w:t>
      </w:r>
      <w:r w:rsidR="00E3160B">
        <w:rPr>
          <w:rFonts w:ascii="Times New Roman" w:hAnsi="Times New Roman" w:cs="Times New Roman"/>
        </w:rPr>
        <w:t xml:space="preserve"> </w:t>
      </w:r>
      <w:r w:rsidR="000954CE">
        <w:rPr>
          <w:rFonts w:ascii="Times New Roman" w:hAnsi="Times New Roman" w:cs="Times New Roman"/>
        </w:rPr>
        <w:t xml:space="preserve">by keeping files secure and accessible effortlessly. </w:t>
      </w:r>
      <w:r w:rsidR="00CA6CA1">
        <w:rPr>
          <w:rFonts w:ascii="Times New Roman" w:hAnsi="Times New Roman" w:cs="Times New Roman"/>
        </w:rPr>
        <w:t xml:space="preserve">It will also help keep track of the activity on files and reduce duplication of files. </w:t>
      </w:r>
      <w:r w:rsidR="00741C9F">
        <w:rPr>
          <w:rFonts w:ascii="Times New Roman" w:hAnsi="Times New Roman" w:cs="Times New Roman"/>
        </w:rPr>
        <w:t xml:space="preserve">SharePoint will also cut downtime, increasing billable hours. </w:t>
      </w:r>
    </w:p>
    <w:p w:rsidR="00CA6CA1" w:rsidRPr="00FE78AF" w:rsidRDefault="00CA6CA1" w:rsidP="00CA6CA1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094E0F" w:rsidRDefault="00094E0F" w:rsidP="00FE78AF">
      <w:pPr>
        <w:spacing w:line="480" w:lineRule="auto"/>
        <w:rPr>
          <w:rFonts w:ascii="Times New Roman" w:hAnsi="Times New Roman" w:cs="Times New Roman"/>
        </w:rPr>
      </w:pPr>
      <w:r w:rsidRPr="00FE78AF">
        <w:rPr>
          <w:rFonts w:ascii="Times New Roman" w:hAnsi="Times New Roman" w:cs="Times New Roman"/>
        </w:rPr>
        <w:tab/>
      </w:r>
      <w:r w:rsidR="00100C21" w:rsidRPr="00FE78AF">
        <w:rPr>
          <w:rFonts w:ascii="Times New Roman" w:hAnsi="Times New Roman" w:cs="Times New Roman"/>
        </w:rPr>
        <w:t>Hardware/software, maintenance, and administrative costs will be $253</w:t>
      </w:r>
      <w:r w:rsidR="00940A8D" w:rsidRPr="00FE78AF">
        <w:rPr>
          <w:rFonts w:ascii="Times New Roman" w:hAnsi="Times New Roman" w:cs="Times New Roman"/>
        </w:rPr>
        <w:t xml:space="preserve">,750 over the next 3 years. </w:t>
      </w:r>
      <w:r w:rsidR="00611C4D" w:rsidRPr="00FE78AF">
        <w:rPr>
          <w:rFonts w:ascii="Times New Roman" w:hAnsi="Times New Roman" w:cs="Times New Roman"/>
        </w:rPr>
        <w:t xml:space="preserve">With SharePoint PMPs will have more billable hours which will result in a </w:t>
      </w:r>
      <w:r w:rsidR="00C5020B" w:rsidRPr="00FE78AF">
        <w:rPr>
          <w:rFonts w:ascii="Times New Roman" w:hAnsi="Times New Roman" w:cs="Times New Roman"/>
        </w:rPr>
        <w:t xml:space="preserve">cost avoidance benefit </w:t>
      </w:r>
      <w:r w:rsidR="00611C4D" w:rsidRPr="00FE78AF">
        <w:rPr>
          <w:rFonts w:ascii="Times New Roman" w:hAnsi="Times New Roman" w:cs="Times New Roman"/>
        </w:rPr>
        <w:t>of $2.1 million.</w:t>
      </w:r>
      <w:r w:rsidR="00571BE6">
        <w:rPr>
          <w:rFonts w:ascii="Times New Roman" w:hAnsi="Times New Roman" w:cs="Times New Roman"/>
        </w:rPr>
        <w:t xml:space="preserve"> Therefore, the ne</w:t>
      </w:r>
      <w:r w:rsidR="00373E46" w:rsidRPr="00FE78AF">
        <w:rPr>
          <w:rFonts w:ascii="Times New Roman" w:hAnsi="Times New Roman" w:cs="Times New Roman"/>
        </w:rPr>
        <w:t xml:space="preserve">t benefit would be $1.85 million over 3 years. </w:t>
      </w:r>
    </w:p>
    <w:p w:rsidR="00CB3198" w:rsidRDefault="00CB3198" w:rsidP="00FE78AF">
      <w:pPr>
        <w:spacing w:line="480" w:lineRule="auto"/>
        <w:rPr>
          <w:rFonts w:ascii="Times New Roman" w:hAnsi="Times New Roman" w:cs="Times New Roman"/>
        </w:rPr>
      </w:pPr>
    </w:p>
    <w:p w:rsidR="00CB3198" w:rsidRDefault="00CB3198" w:rsidP="00FE78AF">
      <w:pPr>
        <w:spacing w:line="480" w:lineRule="auto"/>
        <w:rPr>
          <w:rFonts w:ascii="Times New Roman" w:hAnsi="Times New Roman" w:cs="Times New Roman"/>
        </w:rPr>
      </w:pPr>
    </w:p>
    <w:p w:rsidR="00CB3198" w:rsidRDefault="00CB3198" w:rsidP="00FE78AF">
      <w:pPr>
        <w:spacing w:line="480" w:lineRule="auto"/>
        <w:rPr>
          <w:rFonts w:ascii="Times New Roman" w:hAnsi="Times New Roman" w:cs="Times New Roman"/>
        </w:rPr>
      </w:pPr>
    </w:p>
    <w:p w:rsidR="00CB3198" w:rsidRDefault="00CB3198" w:rsidP="00FE78AF">
      <w:pPr>
        <w:spacing w:line="480" w:lineRule="auto"/>
        <w:rPr>
          <w:rFonts w:ascii="Times New Roman" w:hAnsi="Times New Roman" w:cs="Times New Roman"/>
        </w:rPr>
      </w:pPr>
    </w:p>
    <w:p w:rsidR="00981012" w:rsidRDefault="00981012" w:rsidP="00981012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2-timesnewroman"/>
          <w:rFonts w:ascii="Calibri" w:hAnsi="Calibri" w:cs="Calibri"/>
          <w:color w:val="000000"/>
        </w:rPr>
        <w:lastRenderedPageBreak/>
        <w:t>Works Cited</w:t>
      </w:r>
    </w:p>
    <w:p w:rsidR="00981012" w:rsidRDefault="00981012" w:rsidP="00981012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2-timesnewroman"/>
          <w:rFonts w:ascii="Calibri" w:hAnsi="Calibri" w:cs="Calibri"/>
          <w:color w:val="000000"/>
        </w:rPr>
        <w:t xml:space="preserve">“Create a Connected Workplace.” </w:t>
      </w:r>
      <w:r>
        <w:rPr>
          <w:rStyle w:val="qowt-font2-timesnewroman"/>
          <w:rFonts w:ascii="Calibri" w:hAnsi="Calibri" w:cs="Calibri"/>
          <w:i/>
          <w:iCs/>
          <w:color w:val="000000"/>
        </w:rPr>
        <w:t>Intranets &amp; Team Sites | Microsoft Office</w:t>
      </w:r>
      <w:r>
        <w:rPr>
          <w:rStyle w:val="qowt-font2-timesnewroman"/>
          <w:rFonts w:ascii="Calibri" w:hAnsi="Calibri" w:cs="Calibri"/>
          <w:color w:val="000000"/>
        </w:rPr>
        <w:t>, products.office.com/</w:t>
      </w:r>
      <w:proofErr w:type="spellStart"/>
      <w:r>
        <w:rPr>
          <w:rStyle w:val="qowt-font2-timesnewroman"/>
          <w:rFonts w:ascii="Calibri" w:hAnsi="Calibri" w:cs="Calibri"/>
          <w:color w:val="000000"/>
        </w:rPr>
        <w:t>en</w:t>
      </w:r>
      <w:proofErr w:type="spellEnd"/>
      <w:r>
        <w:rPr>
          <w:rStyle w:val="qowt-font2-timesnewroman"/>
          <w:rFonts w:ascii="Calibri" w:hAnsi="Calibri" w:cs="Calibri"/>
          <w:color w:val="000000"/>
        </w:rPr>
        <w:t>-us/business/teamwork/intranet-software.</w:t>
      </w:r>
    </w:p>
    <w:p w:rsidR="00981012" w:rsidRDefault="00981012" w:rsidP="00981012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2-timesnewroman"/>
          <w:rFonts w:ascii="Calibri" w:hAnsi="Calibri" w:cs="Calibri"/>
          <w:color w:val="000000"/>
        </w:rPr>
        <w:t xml:space="preserve">“Share Your Files from Anywhere.” </w:t>
      </w:r>
      <w:r>
        <w:rPr>
          <w:rStyle w:val="qowt-font2-timesnewroman"/>
          <w:rFonts w:ascii="Calibri" w:hAnsi="Calibri" w:cs="Calibri"/>
          <w:i/>
          <w:iCs/>
          <w:color w:val="000000"/>
        </w:rPr>
        <w:t>Online File Storage and Sharing | Microsoft Office</w:t>
      </w:r>
      <w:r>
        <w:rPr>
          <w:rStyle w:val="qowt-font2-timesnewroman"/>
          <w:rFonts w:ascii="Calibri" w:hAnsi="Calibri" w:cs="Calibri"/>
          <w:color w:val="000000"/>
        </w:rPr>
        <w:t>, products.office.com/en-us/business/teamwork/online-file-storage-and-sharing.</w:t>
      </w:r>
    </w:p>
    <w:p w:rsidR="00CB3198" w:rsidRPr="00092918" w:rsidRDefault="00981012" w:rsidP="00092918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qowt-font2-timesnewroman"/>
          <w:rFonts w:ascii="Calibri" w:hAnsi="Calibri" w:cs="Calibri"/>
          <w:color w:val="000000"/>
        </w:rPr>
        <w:t xml:space="preserve">“Your Mobile, Intelligent Intranet.” </w:t>
      </w:r>
      <w:r>
        <w:rPr>
          <w:rStyle w:val="qowt-font2-timesnewroman"/>
          <w:rFonts w:ascii="Calibri" w:hAnsi="Calibri" w:cs="Calibri"/>
          <w:i/>
          <w:iCs/>
          <w:color w:val="000000"/>
        </w:rPr>
        <w:t>SharePoint 2016, Team Collaboration Software Tools</w:t>
      </w:r>
      <w:r>
        <w:rPr>
          <w:rStyle w:val="qowt-font2-timesnewroman"/>
          <w:rFonts w:ascii="Calibri" w:hAnsi="Calibri" w:cs="Calibri"/>
          <w:color w:val="000000"/>
        </w:rPr>
        <w:t xml:space="preserve">, </w:t>
      </w:r>
      <w:bookmarkStart w:id="0" w:name="OLE_LINK1"/>
      <w:bookmarkStart w:id="1" w:name="OLE_LINK2"/>
      <w:r>
        <w:rPr>
          <w:rStyle w:val="qowt-font2-timesnewroman"/>
          <w:rFonts w:ascii="Calibri" w:hAnsi="Calibri" w:cs="Calibri"/>
          <w:color w:val="000000"/>
        </w:rPr>
        <w:t>products.office.com/</w:t>
      </w:r>
      <w:proofErr w:type="spellStart"/>
      <w:r>
        <w:rPr>
          <w:rStyle w:val="qowt-font2-timesnewroman"/>
          <w:rFonts w:ascii="Calibri" w:hAnsi="Calibri" w:cs="Calibri"/>
          <w:color w:val="000000"/>
        </w:rPr>
        <w:t>en</w:t>
      </w:r>
      <w:proofErr w:type="spellEnd"/>
      <w:r>
        <w:rPr>
          <w:rStyle w:val="qowt-font2-timesnewroman"/>
          <w:rFonts w:ascii="Calibri" w:hAnsi="Calibri" w:cs="Calibri"/>
          <w:color w:val="000000"/>
        </w:rPr>
        <w:t>-us/</w:t>
      </w:r>
      <w:proofErr w:type="spellStart"/>
      <w:r>
        <w:rPr>
          <w:rStyle w:val="qowt-font2-timesnewroman"/>
          <w:rFonts w:ascii="Calibri" w:hAnsi="Calibri" w:cs="Calibri"/>
          <w:color w:val="000000"/>
        </w:rPr>
        <w:t>sharepoint</w:t>
      </w:r>
      <w:proofErr w:type="spellEnd"/>
      <w:r>
        <w:rPr>
          <w:rStyle w:val="qowt-font2-timesnewroman"/>
          <w:rFonts w:ascii="Calibri" w:hAnsi="Calibri" w:cs="Calibri"/>
          <w:color w:val="000000"/>
        </w:rPr>
        <w:t>/collaboration</w:t>
      </w:r>
      <w:bookmarkEnd w:id="0"/>
      <w:bookmarkEnd w:id="1"/>
      <w:r>
        <w:rPr>
          <w:rStyle w:val="qowt-font2-timesnewroman"/>
          <w:rFonts w:ascii="Calibri" w:hAnsi="Calibri" w:cs="Calibri"/>
          <w:color w:val="000000"/>
        </w:rPr>
        <w:t>.</w:t>
      </w: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2280D" w:rsidTr="0062280D">
        <w:tc>
          <w:tcPr>
            <w:tcW w:w="1870" w:type="dxa"/>
          </w:tcPr>
          <w:p w:rsidR="0062280D" w:rsidRDefault="00634E08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Current </w:t>
            </w:r>
            <w:r w:rsidR="0062280D">
              <w:rPr>
                <w:rFonts w:ascii="Times New Roman" w:hAnsi="Times New Roman" w:cs="Times New Roman"/>
              </w:rPr>
              <w:t>Revenue</w:t>
            </w:r>
          </w:p>
        </w:tc>
        <w:tc>
          <w:tcPr>
            <w:tcW w:w="1870" w:type="dxa"/>
          </w:tcPr>
          <w:p w:rsidR="0062280D" w:rsidRDefault="0062280D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1870" w:type="dxa"/>
          </w:tcPr>
          <w:p w:rsidR="0062280D" w:rsidRDefault="0062280D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2</w:t>
            </w:r>
          </w:p>
        </w:tc>
        <w:tc>
          <w:tcPr>
            <w:tcW w:w="1870" w:type="dxa"/>
          </w:tcPr>
          <w:p w:rsidR="0062280D" w:rsidRDefault="0062280D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3</w:t>
            </w:r>
          </w:p>
        </w:tc>
        <w:tc>
          <w:tcPr>
            <w:tcW w:w="1870" w:type="dxa"/>
          </w:tcPr>
          <w:p w:rsidR="0062280D" w:rsidRDefault="0062280D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62280D" w:rsidTr="0062280D">
        <w:tc>
          <w:tcPr>
            <w:tcW w:w="1870" w:type="dxa"/>
          </w:tcPr>
          <w:p w:rsidR="0062280D" w:rsidRDefault="0062280D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PMP</w:t>
            </w:r>
          </w:p>
        </w:tc>
        <w:tc>
          <w:tcPr>
            <w:tcW w:w="1870" w:type="dxa"/>
          </w:tcPr>
          <w:p w:rsidR="0062280D" w:rsidRDefault="0062280D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$262,500</w:t>
            </w:r>
          </w:p>
        </w:tc>
        <w:tc>
          <w:tcPr>
            <w:tcW w:w="1870" w:type="dxa"/>
          </w:tcPr>
          <w:p w:rsidR="0062280D" w:rsidRDefault="0062280D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$262,500</w:t>
            </w:r>
          </w:p>
        </w:tc>
        <w:tc>
          <w:tcPr>
            <w:tcW w:w="1870" w:type="dxa"/>
          </w:tcPr>
          <w:p w:rsidR="0062280D" w:rsidRDefault="0062280D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$262,500</w:t>
            </w:r>
          </w:p>
        </w:tc>
        <w:tc>
          <w:tcPr>
            <w:tcW w:w="1870" w:type="dxa"/>
          </w:tcPr>
          <w:p w:rsidR="0062280D" w:rsidRDefault="0062280D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$787,500</w:t>
            </w:r>
          </w:p>
        </w:tc>
      </w:tr>
      <w:tr w:rsidR="0062280D" w:rsidTr="0062280D">
        <w:tc>
          <w:tcPr>
            <w:tcW w:w="1870" w:type="dxa"/>
          </w:tcPr>
          <w:p w:rsidR="0062280D" w:rsidRDefault="0062280D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PMP</w:t>
            </w:r>
          </w:p>
        </w:tc>
        <w:tc>
          <w:tcPr>
            <w:tcW w:w="1870" w:type="dxa"/>
          </w:tcPr>
          <w:p w:rsidR="0062280D" w:rsidRDefault="0062280D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$2,625,000</w:t>
            </w:r>
          </w:p>
        </w:tc>
        <w:tc>
          <w:tcPr>
            <w:tcW w:w="1870" w:type="dxa"/>
          </w:tcPr>
          <w:p w:rsidR="0062280D" w:rsidRDefault="0062280D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$2,625,000</w:t>
            </w:r>
          </w:p>
        </w:tc>
        <w:tc>
          <w:tcPr>
            <w:tcW w:w="1870" w:type="dxa"/>
          </w:tcPr>
          <w:p w:rsidR="0062280D" w:rsidRDefault="0062280D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$2,625,000</w:t>
            </w:r>
          </w:p>
        </w:tc>
        <w:tc>
          <w:tcPr>
            <w:tcW w:w="1870" w:type="dxa"/>
          </w:tcPr>
          <w:p w:rsidR="0062280D" w:rsidRDefault="0062280D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$7,875,000</w:t>
            </w:r>
          </w:p>
        </w:tc>
      </w:tr>
      <w:tr w:rsidR="00BB0686" w:rsidTr="0062280D">
        <w:tc>
          <w:tcPr>
            <w:tcW w:w="1870" w:type="dxa"/>
          </w:tcPr>
          <w:p w:rsidR="00BB0686" w:rsidRDefault="00BB0686" w:rsidP="0062280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B0686" w:rsidRDefault="00BB0686" w:rsidP="0062280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B0686" w:rsidRDefault="00BB0686" w:rsidP="0062280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B0686" w:rsidRDefault="00BB0686" w:rsidP="0062280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B0686" w:rsidRDefault="00BB0686" w:rsidP="0062280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BB0686" w:rsidTr="0062280D">
        <w:tc>
          <w:tcPr>
            <w:tcW w:w="1870" w:type="dxa"/>
          </w:tcPr>
          <w:p w:rsidR="00BB0686" w:rsidRDefault="00BB0686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</w:t>
            </w:r>
          </w:p>
        </w:tc>
        <w:tc>
          <w:tcPr>
            <w:tcW w:w="1870" w:type="dxa"/>
          </w:tcPr>
          <w:p w:rsidR="00BB0686" w:rsidRDefault="00BB0686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$33,250</w:t>
            </w:r>
          </w:p>
        </w:tc>
        <w:tc>
          <w:tcPr>
            <w:tcW w:w="1870" w:type="dxa"/>
          </w:tcPr>
          <w:p w:rsidR="00BB0686" w:rsidRDefault="00646597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$33,250</w:t>
            </w:r>
          </w:p>
        </w:tc>
        <w:tc>
          <w:tcPr>
            <w:tcW w:w="1870" w:type="dxa"/>
          </w:tcPr>
          <w:p w:rsidR="00BB0686" w:rsidRDefault="00646597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$33,250</w:t>
            </w:r>
          </w:p>
        </w:tc>
        <w:tc>
          <w:tcPr>
            <w:tcW w:w="1870" w:type="dxa"/>
          </w:tcPr>
          <w:p w:rsidR="00BB0686" w:rsidRDefault="00646597" w:rsidP="0062280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$99,750</w:t>
            </w:r>
          </w:p>
        </w:tc>
      </w:tr>
    </w:tbl>
    <w:p w:rsidR="00BB0686" w:rsidRDefault="00BB0686" w:rsidP="00FE78AF">
      <w:pPr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1491"/>
        <w:gridCol w:w="1525"/>
        <w:gridCol w:w="1490"/>
        <w:gridCol w:w="1490"/>
        <w:gridCol w:w="1296"/>
      </w:tblGrid>
      <w:tr w:rsidR="00D41D1E" w:rsidTr="006B7E73">
        <w:tc>
          <w:tcPr>
            <w:tcW w:w="2057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SharePoint</w:t>
            </w:r>
          </w:p>
        </w:tc>
        <w:tc>
          <w:tcPr>
            <w:tcW w:w="1545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2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3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16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41D1E" w:rsidTr="006B7E73">
        <w:tc>
          <w:tcPr>
            <w:tcW w:w="2057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PMP</w:t>
            </w:r>
          </w:p>
        </w:tc>
        <w:tc>
          <w:tcPr>
            <w:tcW w:w="1545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$332,500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$332,500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$332,500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$997,500</w:t>
            </w:r>
          </w:p>
        </w:tc>
        <w:tc>
          <w:tcPr>
            <w:tcW w:w="1116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B7E73" w:rsidTr="006B7E73">
        <w:tc>
          <w:tcPr>
            <w:tcW w:w="2057" w:type="dxa"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Expert</w:t>
            </w:r>
          </w:p>
        </w:tc>
        <w:tc>
          <w:tcPr>
            <w:tcW w:w="1545" w:type="dxa"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$299,250</w:t>
            </w:r>
          </w:p>
        </w:tc>
        <w:tc>
          <w:tcPr>
            <w:tcW w:w="1544" w:type="dxa"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$299,250</w:t>
            </w:r>
          </w:p>
        </w:tc>
        <w:tc>
          <w:tcPr>
            <w:tcW w:w="1544" w:type="dxa"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$299,250</w:t>
            </w:r>
          </w:p>
        </w:tc>
        <w:tc>
          <w:tcPr>
            <w:tcW w:w="1544" w:type="dxa"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$897,750</w:t>
            </w:r>
          </w:p>
        </w:tc>
        <w:tc>
          <w:tcPr>
            <w:tcW w:w="1116" w:type="dxa"/>
            <w:vMerge w:val="restart"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$9,875,250</w:t>
            </w:r>
          </w:p>
        </w:tc>
      </w:tr>
      <w:tr w:rsidR="006B7E73" w:rsidTr="006B7E73">
        <w:tc>
          <w:tcPr>
            <w:tcW w:w="2057" w:type="dxa"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PMP</w:t>
            </w:r>
          </w:p>
        </w:tc>
        <w:tc>
          <w:tcPr>
            <w:tcW w:w="1545" w:type="dxa"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$2,992,500</w:t>
            </w:r>
          </w:p>
        </w:tc>
        <w:tc>
          <w:tcPr>
            <w:tcW w:w="1544" w:type="dxa"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$2,992,500</w:t>
            </w:r>
          </w:p>
        </w:tc>
        <w:tc>
          <w:tcPr>
            <w:tcW w:w="1544" w:type="dxa"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$2,992,500</w:t>
            </w:r>
          </w:p>
        </w:tc>
        <w:tc>
          <w:tcPr>
            <w:tcW w:w="1544" w:type="dxa"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$8,977,500</w:t>
            </w:r>
          </w:p>
        </w:tc>
        <w:tc>
          <w:tcPr>
            <w:tcW w:w="1116" w:type="dxa"/>
            <w:vMerge/>
          </w:tcPr>
          <w:p w:rsidR="006B7E73" w:rsidRDefault="006B7E73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41D1E" w:rsidTr="006B7E73">
        <w:tc>
          <w:tcPr>
            <w:tcW w:w="2057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Hardware/software</w:t>
            </w:r>
          </w:p>
        </w:tc>
        <w:tc>
          <w:tcPr>
            <w:tcW w:w="1545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$100,000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$100,000</w:t>
            </w:r>
          </w:p>
        </w:tc>
        <w:tc>
          <w:tcPr>
            <w:tcW w:w="1116" w:type="dxa"/>
            <w:vMerge w:val="restart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$154,000</w:t>
            </w:r>
          </w:p>
        </w:tc>
      </w:tr>
      <w:tr w:rsidR="00D41D1E" w:rsidTr="006B7E73">
        <w:tc>
          <w:tcPr>
            <w:tcW w:w="2057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Maintenance</w:t>
            </w:r>
          </w:p>
        </w:tc>
        <w:tc>
          <w:tcPr>
            <w:tcW w:w="1545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$18,000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$18,000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$18,000</w:t>
            </w: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$54,000</w:t>
            </w:r>
          </w:p>
        </w:tc>
        <w:tc>
          <w:tcPr>
            <w:tcW w:w="1116" w:type="dxa"/>
            <w:vMerge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41D1E" w:rsidTr="006B7E73">
        <w:tc>
          <w:tcPr>
            <w:tcW w:w="2057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41D1E" w:rsidRDefault="00D41D1E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41D1E" w:rsidRDefault="009D5BE9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Benefit</w:t>
            </w:r>
          </w:p>
        </w:tc>
        <w:tc>
          <w:tcPr>
            <w:tcW w:w="1116" w:type="dxa"/>
          </w:tcPr>
          <w:p w:rsidR="00D41D1E" w:rsidRDefault="009D5BE9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$9,721,250</w:t>
            </w:r>
          </w:p>
        </w:tc>
      </w:tr>
      <w:tr w:rsidR="00BB0686" w:rsidTr="006B7E73">
        <w:tc>
          <w:tcPr>
            <w:tcW w:w="2057" w:type="dxa"/>
          </w:tcPr>
          <w:p w:rsidR="00BB0686" w:rsidRDefault="00BB0686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BB0686" w:rsidRDefault="00BB0686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BB0686" w:rsidRDefault="00BB0686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BB0686" w:rsidRDefault="00BB0686" w:rsidP="00FE78A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BB0686" w:rsidRDefault="00BB0686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Benefit</w:t>
            </w:r>
          </w:p>
        </w:tc>
        <w:tc>
          <w:tcPr>
            <w:tcW w:w="1116" w:type="dxa"/>
          </w:tcPr>
          <w:p w:rsidR="00BB0686" w:rsidRDefault="00BB0686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$1,846,250</w:t>
            </w:r>
          </w:p>
        </w:tc>
      </w:tr>
      <w:tr w:rsidR="00A11B6A" w:rsidTr="006B7E73">
        <w:tc>
          <w:tcPr>
            <w:tcW w:w="2057" w:type="dxa"/>
          </w:tcPr>
          <w:p w:rsidR="00A11B6A" w:rsidRDefault="00092918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 +</w:t>
            </w:r>
          </w:p>
        </w:tc>
        <w:tc>
          <w:tcPr>
            <w:tcW w:w="1545" w:type="dxa"/>
          </w:tcPr>
          <w:p w:rsidR="00A11B6A" w:rsidRDefault="00092918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Hardware +</w:t>
            </w:r>
          </w:p>
        </w:tc>
        <w:tc>
          <w:tcPr>
            <w:tcW w:w="1544" w:type="dxa"/>
          </w:tcPr>
          <w:p w:rsidR="00A11B6A" w:rsidRDefault="00092918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Maintenance</w:t>
            </w:r>
          </w:p>
        </w:tc>
        <w:tc>
          <w:tcPr>
            <w:tcW w:w="1544" w:type="dxa"/>
          </w:tcPr>
          <w:p w:rsidR="00A11B6A" w:rsidRDefault="00092918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544" w:type="dxa"/>
          </w:tcPr>
          <w:p w:rsidR="00A11B6A" w:rsidRDefault="00A11B6A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Cost</w:t>
            </w:r>
          </w:p>
        </w:tc>
        <w:tc>
          <w:tcPr>
            <w:tcW w:w="1116" w:type="dxa"/>
          </w:tcPr>
          <w:p w:rsidR="00A11B6A" w:rsidRDefault="00A11B6A" w:rsidP="00FE78A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$253,750</w:t>
            </w:r>
          </w:p>
        </w:tc>
      </w:tr>
    </w:tbl>
    <w:p w:rsidR="008D04A3" w:rsidRPr="00FE78AF" w:rsidRDefault="008D04A3" w:rsidP="00FE78AF">
      <w:pPr>
        <w:spacing w:line="480" w:lineRule="auto"/>
        <w:rPr>
          <w:rFonts w:ascii="Times New Roman" w:hAnsi="Times New Roman" w:cs="Times New Roman"/>
        </w:rPr>
      </w:pPr>
    </w:p>
    <w:sectPr w:rsidR="008D04A3" w:rsidRPr="00FE78AF" w:rsidSect="0084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35"/>
    <w:rsid w:val="0002280A"/>
    <w:rsid w:val="0008798D"/>
    <w:rsid w:val="00092918"/>
    <w:rsid w:val="00094E0F"/>
    <w:rsid w:val="000954CE"/>
    <w:rsid w:val="00100C21"/>
    <w:rsid w:val="00151876"/>
    <w:rsid w:val="002507C7"/>
    <w:rsid w:val="002E09B6"/>
    <w:rsid w:val="003651C9"/>
    <w:rsid w:val="00373E46"/>
    <w:rsid w:val="003D56B5"/>
    <w:rsid w:val="003E789B"/>
    <w:rsid w:val="00430FBB"/>
    <w:rsid w:val="004365F0"/>
    <w:rsid w:val="004625DA"/>
    <w:rsid w:val="004B7798"/>
    <w:rsid w:val="00571BE6"/>
    <w:rsid w:val="00611C4D"/>
    <w:rsid w:val="0062280D"/>
    <w:rsid w:val="00634E08"/>
    <w:rsid w:val="00646597"/>
    <w:rsid w:val="006B7E73"/>
    <w:rsid w:val="00741C9F"/>
    <w:rsid w:val="007624F1"/>
    <w:rsid w:val="00846B0A"/>
    <w:rsid w:val="008D04A3"/>
    <w:rsid w:val="00940A8D"/>
    <w:rsid w:val="0095422D"/>
    <w:rsid w:val="00981012"/>
    <w:rsid w:val="00985579"/>
    <w:rsid w:val="009D5BE9"/>
    <w:rsid w:val="009E20FE"/>
    <w:rsid w:val="009F5DD0"/>
    <w:rsid w:val="00A11B6A"/>
    <w:rsid w:val="00A43782"/>
    <w:rsid w:val="00A9418E"/>
    <w:rsid w:val="00B21100"/>
    <w:rsid w:val="00B74000"/>
    <w:rsid w:val="00B8576F"/>
    <w:rsid w:val="00BB0686"/>
    <w:rsid w:val="00C5020B"/>
    <w:rsid w:val="00C61B35"/>
    <w:rsid w:val="00CA6CA1"/>
    <w:rsid w:val="00CB3198"/>
    <w:rsid w:val="00D41D1E"/>
    <w:rsid w:val="00D52315"/>
    <w:rsid w:val="00E3160B"/>
    <w:rsid w:val="00E5047C"/>
    <w:rsid w:val="00E67D6A"/>
    <w:rsid w:val="00E86E99"/>
    <w:rsid w:val="00EC7E3B"/>
    <w:rsid w:val="00F33CCF"/>
    <w:rsid w:val="00F3577A"/>
    <w:rsid w:val="00F638CB"/>
    <w:rsid w:val="00FA62FD"/>
    <w:rsid w:val="00F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4F9A9"/>
  <w15:chartTrackingRefBased/>
  <w15:docId w15:val="{F49D4FC4-00DC-304A-9746-582BD0BF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1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D04A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810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qowt-font2-timesnewroman">
    <w:name w:val="qowt-font2-timesnewroman"/>
    <w:basedOn w:val="DefaultParagraphFont"/>
    <w:rsid w:val="0098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Ibrahim</dc:creator>
  <cp:keywords/>
  <dc:description/>
  <cp:lastModifiedBy>Ahmad Ibrahim</cp:lastModifiedBy>
  <cp:revision>79</cp:revision>
  <cp:lastPrinted>2018-04-26T03:09:00Z</cp:lastPrinted>
  <dcterms:created xsi:type="dcterms:W3CDTF">2018-04-24T13:58:00Z</dcterms:created>
  <dcterms:modified xsi:type="dcterms:W3CDTF">2018-04-26T03:17:00Z</dcterms:modified>
</cp:coreProperties>
</file>