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6FAB0" w14:textId="77777777" w:rsidR="00836BBB" w:rsidRDefault="002528E0">
      <w:pPr>
        <w:spacing w:line="480" w:lineRule="auto"/>
        <w:contextualSpacing w:val="0"/>
        <w:jc w:val="right"/>
      </w:pPr>
      <w:r>
        <w:t>Abosede Ibikunle</w:t>
      </w:r>
    </w:p>
    <w:p w14:paraId="0F4BF0CE" w14:textId="77777777" w:rsidR="00836BBB" w:rsidRDefault="002528E0">
      <w:pPr>
        <w:spacing w:line="480" w:lineRule="auto"/>
        <w:contextualSpacing w:val="0"/>
        <w:jc w:val="right"/>
      </w:pPr>
      <w:r>
        <w:t>Mart Doyle</w:t>
      </w:r>
    </w:p>
    <w:p w14:paraId="6F61D186" w14:textId="77777777" w:rsidR="00836BBB" w:rsidRDefault="002528E0">
      <w:pPr>
        <w:spacing w:line="480" w:lineRule="auto"/>
        <w:contextualSpacing w:val="0"/>
        <w:jc w:val="right"/>
      </w:pPr>
      <w:r>
        <w:t>MIS 3406- Enterprise IT Architecture</w:t>
      </w:r>
    </w:p>
    <w:p w14:paraId="16AFE57D" w14:textId="77777777" w:rsidR="00836BBB" w:rsidRDefault="00836BBB">
      <w:pPr>
        <w:spacing w:line="480" w:lineRule="auto"/>
        <w:contextualSpacing w:val="0"/>
        <w:jc w:val="right"/>
      </w:pPr>
    </w:p>
    <w:p w14:paraId="75039DC9" w14:textId="77777777" w:rsidR="00836BBB" w:rsidRDefault="00836BBB">
      <w:pPr>
        <w:spacing w:line="480" w:lineRule="auto"/>
        <w:contextualSpacing w:val="0"/>
      </w:pPr>
    </w:p>
    <w:p w14:paraId="26C91CC2" w14:textId="7C29F67D" w:rsidR="00836BBB" w:rsidRDefault="002528E0">
      <w:pPr>
        <w:spacing w:line="480" w:lineRule="auto"/>
        <w:contextualSpacing w:val="0"/>
      </w:pPr>
      <w:r>
        <w:t>Over 3 years there will be $9,200,000 in net benefits if we utilize virtualization to our servers. Virtualization is the process of creating a visual representation of something physical. With virtualization we can cut down our costs by consolidating our p</w:t>
      </w:r>
      <w:r>
        <w:t xml:space="preserve">hysical server workloads into virtual machines. By utilizing </w:t>
      </w:r>
      <w:bookmarkStart w:id="0" w:name="_GoBack"/>
      <w:bookmarkEnd w:id="0"/>
      <w:r w:rsidR="00316F81">
        <w:t>virtualization,</w:t>
      </w:r>
      <w:r>
        <w:t xml:space="preserve"> we can consolidate 10 physical servers into a single virtual machine server, which will cut down our server costs.</w:t>
      </w:r>
    </w:p>
    <w:p w14:paraId="0C611852" w14:textId="77777777" w:rsidR="00836BBB" w:rsidRDefault="00836BBB">
      <w:pPr>
        <w:spacing w:line="480" w:lineRule="auto"/>
        <w:contextualSpacing w:val="0"/>
      </w:pPr>
    </w:p>
    <w:p w14:paraId="03EEAD1A" w14:textId="77777777" w:rsidR="00836BBB" w:rsidRDefault="002528E0">
      <w:pPr>
        <w:spacing w:line="480" w:lineRule="auto"/>
        <w:contextualSpacing w:val="0"/>
        <w:rPr>
          <w:rFonts w:ascii="Times New Roman" w:eastAsia="Times New Roman" w:hAnsi="Times New Roman" w:cs="Times New Roman"/>
          <w:sz w:val="24"/>
          <w:szCs w:val="24"/>
        </w:rPr>
      </w:pPr>
      <w:r>
        <w:t xml:space="preserve">The key capability of virtualization and cloud computing is the </w:t>
      </w:r>
      <w:r>
        <w:t>ability to consolidate our server workloads. For our company, server consolidation with the use of VMware, for our company would let us make ten of the physical servers we have now into one virtual machine.</w:t>
      </w:r>
      <w:r>
        <w:rPr>
          <w:rFonts w:ascii="Times New Roman" w:eastAsia="Times New Roman" w:hAnsi="Times New Roman" w:cs="Times New Roman"/>
          <w:sz w:val="24"/>
          <w:szCs w:val="24"/>
        </w:rPr>
        <w:t xml:space="preserve"> For example, now we have 1,000 servers ,but with </w:t>
      </w:r>
      <w:r>
        <w:rPr>
          <w:rFonts w:ascii="Times New Roman" w:eastAsia="Times New Roman" w:hAnsi="Times New Roman" w:cs="Times New Roman"/>
          <w:sz w:val="24"/>
          <w:szCs w:val="24"/>
        </w:rPr>
        <w:t>the use of virtualization we can turn 800 of the servers into virtual machines. With the use of virtualization and cloud computing we will be able to compress our physical servers into higher-end virtual machine servers while cutting down our single server</w:t>
      </w:r>
      <w:r>
        <w:rPr>
          <w:rFonts w:ascii="Times New Roman" w:eastAsia="Times New Roman" w:hAnsi="Times New Roman" w:cs="Times New Roman"/>
          <w:sz w:val="24"/>
          <w:szCs w:val="24"/>
        </w:rPr>
        <w:t xml:space="preserve"> costs.</w:t>
      </w:r>
    </w:p>
    <w:p w14:paraId="76737178" w14:textId="77777777" w:rsidR="00836BBB" w:rsidRDefault="00836BBB">
      <w:pPr>
        <w:spacing w:line="480" w:lineRule="auto"/>
        <w:contextualSpacing w:val="0"/>
        <w:rPr>
          <w:rFonts w:ascii="Times New Roman" w:eastAsia="Times New Roman" w:hAnsi="Times New Roman" w:cs="Times New Roman"/>
          <w:sz w:val="24"/>
          <w:szCs w:val="24"/>
        </w:rPr>
      </w:pPr>
    </w:p>
    <w:p w14:paraId="45D4FD2F" w14:textId="77777777" w:rsidR="00836BBB" w:rsidRDefault="002528E0">
      <w:pPr>
        <w:spacing w:line="480" w:lineRule="auto"/>
        <w:contextualSpacing w:val="0"/>
      </w:pPr>
      <w:r>
        <w:rPr>
          <w:rFonts w:ascii="Times New Roman" w:eastAsia="Times New Roman" w:hAnsi="Times New Roman" w:cs="Times New Roman"/>
          <w:sz w:val="24"/>
          <w:szCs w:val="24"/>
        </w:rPr>
        <w:t>Implementing server consolidation with VMware will costs us $4,800,000 over a three year period including the initial cost, hardware maintenance, software maintenance, technical support, power and cooling for our virtual machines.  However, we wou</w:t>
      </w:r>
      <w:r>
        <w:rPr>
          <w:rFonts w:ascii="Times New Roman" w:eastAsia="Times New Roman" w:hAnsi="Times New Roman" w:cs="Times New Roman"/>
          <w:sz w:val="24"/>
          <w:szCs w:val="24"/>
        </w:rPr>
        <w:t xml:space="preserve">ld yield a benefit of  $14,000,000 over a 3 year period thus having a net benefit of $9,200,000 over a three year period. </w:t>
      </w:r>
    </w:p>
    <w:p w14:paraId="1701BFD4" w14:textId="77777777" w:rsidR="00836BBB" w:rsidRDefault="00836BBB">
      <w:pPr>
        <w:contextualSpacing w:val="0"/>
      </w:pPr>
    </w:p>
    <w:p w14:paraId="3928F3FE" w14:textId="77777777" w:rsidR="00836BBB" w:rsidRDefault="00836BBB">
      <w:pPr>
        <w:contextualSpacing w:val="0"/>
      </w:pPr>
    </w:p>
    <w:p w14:paraId="73253827" w14:textId="77777777" w:rsidR="00836BBB" w:rsidRDefault="00836BBB">
      <w:pPr>
        <w:contextualSpacing w:val="0"/>
      </w:pPr>
    </w:p>
    <w:p w14:paraId="75E82B0C" w14:textId="77777777" w:rsidR="00836BBB" w:rsidRDefault="00836BBB">
      <w:pPr>
        <w:contextualSpacing w:val="0"/>
      </w:pPr>
    </w:p>
    <w:p w14:paraId="66C8675D" w14:textId="77777777" w:rsidR="00836BBB" w:rsidRDefault="00836BBB">
      <w:pPr>
        <w:contextualSpacing w:val="0"/>
      </w:pPr>
    </w:p>
    <w:p w14:paraId="31324C4E" w14:textId="77777777" w:rsidR="00836BBB" w:rsidRDefault="00836BBB">
      <w:pPr>
        <w:contextualSpacing w:val="0"/>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836BBB" w14:paraId="7F4629BF" w14:textId="77777777">
        <w:tc>
          <w:tcPr>
            <w:tcW w:w="1560" w:type="dxa"/>
            <w:shd w:val="clear" w:color="auto" w:fill="auto"/>
            <w:tcMar>
              <w:top w:w="100" w:type="dxa"/>
              <w:left w:w="100" w:type="dxa"/>
              <w:bottom w:w="100" w:type="dxa"/>
              <w:right w:w="100" w:type="dxa"/>
            </w:tcMar>
          </w:tcPr>
          <w:p w14:paraId="71A606ED" w14:textId="77777777" w:rsidR="00836BBB" w:rsidRDefault="002528E0">
            <w:pPr>
              <w:widowControl w:val="0"/>
              <w:spacing w:line="240" w:lineRule="auto"/>
              <w:contextualSpacing w:val="0"/>
            </w:pPr>
            <w:r>
              <w:t>Original Servers</w:t>
            </w:r>
          </w:p>
        </w:tc>
        <w:tc>
          <w:tcPr>
            <w:tcW w:w="1560" w:type="dxa"/>
            <w:shd w:val="clear" w:color="auto" w:fill="auto"/>
            <w:tcMar>
              <w:top w:w="100" w:type="dxa"/>
              <w:left w:w="100" w:type="dxa"/>
              <w:bottom w:w="100" w:type="dxa"/>
              <w:right w:w="100" w:type="dxa"/>
            </w:tcMar>
          </w:tcPr>
          <w:p w14:paraId="0964B3F4" w14:textId="77777777" w:rsidR="00836BBB" w:rsidRDefault="002528E0">
            <w:pPr>
              <w:widowControl w:val="0"/>
              <w:spacing w:line="240" w:lineRule="auto"/>
              <w:contextualSpacing w:val="0"/>
            </w:pPr>
            <w:r>
              <w:t>Year 1</w:t>
            </w:r>
          </w:p>
        </w:tc>
        <w:tc>
          <w:tcPr>
            <w:tcW w:w="1560" w:type="dxa"/>
            <w:shd w:val="clear" w:color="auto" w:fill="auto"/>
            <w:tcMar>
              <w:top w:w="100" w:type="dxa"/>
              <w:left w:w="100" w:type="dxa"/>
              <w:bottom w:w="100" w:type="dxa"/>
              <w:right w:w="100" w:type="dxa"/>
            </w:tcMar>
          </w:tcPr>
          <w:p w14:paraId="775842DF" w14:textId="77777777" w:rsidR="00836BBB" w:rsidRDefault="002528E0">
            <w:pPr>
              <w:widowControl w:val="0"/>
              <w:spacing w:line="240" w:lineRule="auto"/>
              <w:contextualSpacing w:val="0"/>
            </w:pPr>
            <w:r>
              <w:t>Year 2</w:t>
            </w:r>
          </w:p>
        </w:tc>
        <w:tc>
          <w:tcPr>
            <w:tcW w:w="1560" w:type="dxa"/>
            <w:shd w:val="clear" w:color="auto" w:fill="auto"/>
            <w:tcMar>
              <w:top w:w="100" w:type="dxa"/>
              <w:left w:w="100" w:type="dxa"/>
              <w:bottom w:w="100" w:type="dxa"/>
              <w:right w:w="100" w:type="dxa"/>
            </w:tcMar>
          </w:tcPr>
          <w:p w14:paraId="100A5DCD" w14:textId="77777777" w:rsidR="00836BBB" w:rsidRDefault="002528E0">
            <w:pPr>
              <w:widowControl w:val="0"/>
              <w:spacing w:line="240" w:lineRule="auto"/>
              <w:contextualSpacing w:val="0"/>
            </w:pPr>
            <w:r>
              <w:t>Year 3</w:t>
            </w:r>
          </w:p>
        </w:tc>
        <w:tc>
          <w:tcPr>
            <w:tcW w:w="1560" w:type="dxa"/>
            <w:shd w:val="clear" w:color="auto" w:fill="auto"/>
            <w:tcMar>
              <w:top w:w="100" w:type="dxa"/>
              <w:left w:w="100" w:type="dxa"/>
              <w:bottom w:w="100" w:type="dxa"/>
              <w:right w:w="100" w:type="dxa"/>
            </w:tcMar>
          </w:tcPr>
          <w:p w14:paraId="78BD2D74" w14:textId="77777777" w:rsidR="00836BBB" w:rsidRDefault="002528E0">
            <w:pPr>
              <w:widowControl w:val="0"/>
              <w:spacing w:line="240" w:lineRule="auto"/>
              <w:contextualSpacing w:val="0"/>
            </w:pPr>
            <w:r>
              <w:t>Total (Per Server)</w:t>
            </w:r>
          </w:p>
        </w:tc>
        <w:tc>
          <w:tcPr>
            <w:tcW w:w="1560" w:type="dxa"/>
            <w:shd w:val="clear" w:color="auto" w:fill="auto"/>
            <w:tcMar>
              <w:top w:w="100" w:type="dxa"/>
              <w:left w:w="100" w:type="dxa"/>
              <w:bottom w:w="100" w:type="dxa"/>
              <w:right w:w="100" w:type="dxa"/>
            </w:tcMar>
          </w:tcPr>
          <w:p w14:paraId="0C85ACE3" w14:textId="77777777" w:rsidR="00836BBB" w:rsidRDefault="002528E0">
            <w:pPr>
              <w:widowControl w:val="0"/>
              <w:spacing w:line="240" w:lineRule="auto"/>
              <w:contextualSpacing w:val="0"/>
            </w:pPr>
            <w:r>
              <w:t>Total for all servers (1000)</w:t>
            </w:r>
          </w:p>
        </w:tc>
      </w:tr>
      <w:tr w:rsidR="00836BBB" w14:paraId="3D4B17DA" w14:textId="77777777">
        <w:tc>
          <w:tcPr>
            <w:tcW w:w="1560" w:type="dxa"/>
            <w:shd w:val="clear" w:color="auto" w:fill="auto"/>
            <w:tcMar>
              <w:top w:w="100" w:type="dxa"/>
              <w:left w:w="100" w:type="dxa"/>
              <w:bottom w:w="100" w:type="dxa"/>
              <w:right w:w="100" w:type="dxa"/>
            </w:tcMar>
          </w:tcPr>
          <w:p w14:paraId="41BC87D0" w14:textId="77777777" w:rsidR="00836BBB" w:rsidRDefault="00836BBB">
            <w:pPr>
              <w:widowControl w:val="0"/>
              <w:spacing w:line="240" w:lineRule="auto"/>
              <w:contextualSpacing w:val="0"/>
            </w:pPr>
          </w:p>
        </w:tc>
        <w:tc>
          <w:tcPr>
            <w:tcW w:w="1560" w:type="dxa"/>
            <w:shd w:val="clear" w:color="auto" w:fill="auto"/>
            <w:tcMar>
              <w:top w:w="100" w:type="dxa"/>
              <w:left w:w="100" w:type="dxa"/>
              <w:bottom w:w="100" w:type="dxa"/>
              <w:right w:w="100" w:type="dxa"/>
            </w:tcMar>
          </w:tcPr>
          <w:p w14:paraId="78B3011D" w14:textId="77777777" w:rsidR="00836BBB" w:rsidRDefault="00836BBB">
            <w:pPr>
              <w:widowControl w:val="0"/>
              <w:spacing w:line="240" w:lineRule="auto"/>
              <w:contextualSpacing w:val="0"/>
            </w:pPr>
          </w:p>
        </w:tc>
        <w:tc>
          <w:tcPr>
            <w:tcW w:w="1560" w:type="dxa"/>
            <w:shd w:val="clear" w:color="auto" w:fill="auto"/>
            <w:tcMar>
              <w:top w:w="100" w:type="dxa"/>
              <w:left w:w="100" w:type="dxa"/>
              <w:bottom w:w="100" w:type="dxa"/>
              <w:right w:w="100" w:type="dxa"/>
            </w:tcMar>
          </w:tcPr>
          <w:p w14:paraId="063EAB7A" w14:textId="77777777" w:rsidR="00836BBB" w:rsidRDefault="00836BBB">
            <w:pPr>
              <w:widowControl w:val="0"/>
              <w:spacing w:line="240" w:lineRule="auto"/>
              <w:contextualSpacing w:val="0"/>
            </w:pPr>
          </w:p>
        </w:tc>
        <w:tc>
          <w:tcPr>
            <w:tcW w:w="1560" w:type="dxa"/>
            <w:shd w:val="clear" w:color="auto" w:fill="auto"/>
            <w:tcMar>
              <w:top w:w="100" w:type="dxa"/>
              <w:left w:w="100" w:type="dxa"/>
              <w:bottom w:w="100" w:type="dxa"/>
              <w:right w:w="100" w:type="dxa"/>
            </w:tcMar>
          </w:tcPr>
          <w:p w14:paraId="2D451733" w14:textId="77777777" w:rsidR="00836BBB" w:rsidRDefault="00836BBB">
            <w:pPr>
              <w:widowControl w:val="0"/>
              <w:spacing w:line="240" w:lineRule="auto"/>
              <w:contextualSpacing w:val="0"/>
            </w:pPr>
          </w:p>
        </w:tc>
        <w:tc>
          <w:tcPr>
            <w:tcW w:w="1560" w:type="dxa"/>
            <w:shd w:val="clear" w:color="auto" w:fill="auto"/>
            <w:tcMar>
              <w:top w:w="100" w:type="dxa"/>
              <w:left w:w="100" w:type="dxa"/>
              <w:bottom w:w="100" w:type="dxa"/>
              <w:right w:w="100" w:type="dxa"/>
            </w:tcMar>
          </w:tcPr>
          <w:p w14:paraId="4E97DBFD" w14:textId="77777777" w:rsidR="00836BBB" w:rsidRDefault="00836BBB">
            <w:pPr>
              <w:widowControl w:val="0"/>
              <w:spacing w:line="240" w:lineRule="auto"/>
              <w:contextualSpacing w:val="0"/>
            </w:pPr>
          </w:p>
        </w:tc>
        <w:tc>
          <w:tcPr>
            <w:tcW w:w="1560" w:type="dxa"/>
            <w:shd w:val="clear" w:color="auto" w:fill="auto"/>
            <w:tcMar>
              <w:top w:w="100" w:type="dxa"/>
              <w:left w:w="100" w:type="dxa"/>
              <w:bottom w:w="100" w:type="dxa"/>
              <w:right w:w="100" w:type="dxa"/>
            </w:tcMar>
          </w:tcPr>
          <w:p w14:paraId="32DF584C" w14:textId="77777777" w:rsidR="00836BBB" w:rsidRDefault="00836BBB">
            <w:pPr>
              <w:widowControl w:val="0"/>
              <w:spacing w:line="240" w:lineRule="auto"/>
              <w:contextualSpacing w:val="0"/>
            </w:pPr>
          </w:p>
        </w:tc>
      </w:tr>
      <w:tr w:rsidR="00836BBB" w14:paraId="6D368C6A" w14:textId="77777777">
        <w:tc>
          <w:tcPr>
            <w:tcW w:w="1560" w:type="dxa"/>
            <w:shd w:val="clear" w:color="auto" w:fill="auto"/>
            <w:tcMar>
              <w:top w:w="100" w:type="dxa"/>
              <w:left w:w="100" w:type="dxa"/>
              <w:bottom w:w="100" w:type="dxa"/>
              <w:right w:w="100" w:type="dxa"/>
            </w:tcMar>
          </w:tcPr>
          <w:p w14:paraId="04DEE189" w14:textId="77777777" w:rsidR="00836BBB" w:rsidRDefault="002528E0">
            <w:pPr>
              <w:widowControl w:val="0"/>
              <w:spacing w:line="240" w:lineRule="auto"/>
              <w:contextualSpacing w:val="0"/>
            </w:pPr>
            <w:r>
              <w:t>Initial Cost</w:t>
            </w:r>
          </w:p>
        </w:tc>
        <w:tc>
          <w:tcPr>
            <w:tcW w:w="1560" w:type="dxa"/>
            <w:shd w:val="clear" w:color="auto" w:fill="auto"/>
            <w:tcMar>
              <w:top w:w="100" w:type="dxa"/>
              <w:left w:w="100" w:type="dxa"/>
              <w:bottom w:w="100" w:type="dxa"/>
              <w:right w:w="100" w:type="dxa"/>
            </w:tcMar>
          </w:tcPr>
          <w:p w14:paraId="757F085A" w14:textId="77777777" w:rsidR="00836BBB" w:rsidRDefault="002528E0">
            <w:pPr>
              <w:widowControl w:val="0"/>
              <w:spacing w:line="240" w:lineRule="auto"/>
              <w:contextualSpacing w:val="0"/>
            </w:pPr>
            <w:r>
              <w:t>$8,000</w:t>
            </w:r>
          </w:p>
        </w:tc>
        <w:tc>
          <w:tcPr>
            <w:tcW w:w="1560" w:type="dxa"/>
            <w:shd w:val="clear" w:color="auto" w:fill="auto"/>
            <w:tcMar>
              <w:top w:w="100" w:type="dxa"/>
              <w:left w:w="100" w:type="dxa"/>
              <w:bottom w:w="100" w:type="dxa"/>
              <w:right w:w="100" w:type="dxa"/>
            </w:tcMar>
          </w:tcPr>
          <w:p w14:paraId="25705EC1" w14:textId="77777777" w:rsidR="00836BBB" w:rsidRDefault="002528E0">
            <w:pPr>
              <w:widowControl w:val="0"/>
              <w:spacing w:line="240" w:lineRule="auto"/>
              <w:contextualSpacing w:val="0"/>
            </w:pPr>
            <w:r>
              <w:t>0</w:t>
            </w:r>
          </w:p>
        </w:tc>
        <w:tc>
          <w:tcPr>
            <w:tcW w:w="1560" w:type="dxa"/>
            <w:shd w:val="clear" w:color="auto" w:fill="auto"/>
            <w:tcMar>
              <w:top w:w="100" w:type="dxa"/>
              <w:left w:w="100" w:type="dxa"/>
              <w:bottom w:w="100" w:type="dxa"/>
              <w:right w:w="100" w:type="dxa"/>
            </w:tcMar>
          </w:tcPr>
          <w:p w14:paraId="62EFE7E8" w14:textId="77777777" w:rsidR="00836BBB" w:rsidRDefault="002528E0">
            <w:pPr>
              <w:widowControl w:val="0"/>
              <w:spacing w:line="240" w:lineRule="auto"/>
              <w:contextualSpacing w:val="0"/>
            </w:pPr>
            <w:r>
              <w:t>0</w:t>
            </w:r>
          </w:p>
        </w:tc>
        <w:tc>
          <w:tcPr>
            <w:tcW w:w="1560" w:type="dxa"/>
            <w:shd w:val="clear" w:color="auto" w:fill="auto"/>
            <w:tcMar>
              <w:top w:w="100" w:type="dxa"/>
              <w:left w:w="100" w:type="dxa"/>
              <w:bottom w:w="100" w:type="dxa"/>
              <w:right w:w="100" w:type="dxa"/>
            </w:tcMar>
          </w:tcPr>
          <w:p w14:paraId="28A0884C" w14:textId="77777777" w:rsidR="00836BBB" w:rsidRDefault="002528E0">
            <w:pPr>
              <w:widowControl w:val="0"/>
              <w:spacing w:line="240" w:lineRule="auto"/>
              <w:contextualSpacing w:val="0"/>
            </w:pPr>
            <w:r>
              <w:t>$8,000</w:t>
            </w:r>
          </w:p>
        </w:tc>
        <w:tc>
          <w:tcPr>
            <w:tcW w:w="1560" w:type="dxa"/>
            <w:shd w:val="clear" w:color="auto" w:fill="auto"/>
            <w:tcMar>
              <w:top w:w="100" w:type="dxa"/>
              <w:left w:w="100" w:type="dxa"/>
              <w:bottom w:w="100" w:type="dxa"/>
              <w:right w:w="100" w:type="dxa"/>
            </w:tcMar>
          </w:tcPr>
          <w:p w14:paraId="31999D5B" w14:textId="77777777" w:rsidR="00836BBB" w:rsidRDefault="002528E0">
            <w:pPr>
              <w:widowControl w:val="0"/>
              <w:spacing w:line="240" w:lineRule="auto"/>
              <w:contextualSpacing w:val="0"/>
            </w:pPr>
            <w:r>
              <w:t>$8,000,000</w:t>
            </w:r>
          </w:p>
        </w:tc>
      </w:tr>
      <w:tr w:rsidR="00836BBB" w14:paraId="36752A7E" w14:textId="77777777">
        <w:tc>
          <w:tcPr>
            <w:tcW w:w="1560" w:type="dxa"/>
            <w:shd w:val="clear" w:color="auto" w:fill="auto"/>
            <w:tcMar>
              <w:top w:w="100" w:type="dxa"/>
              <w:left w:w="100" w:type="dxa"/>
              <w:bottom w:w="100" w:type="dxa"/>
              <w:right w:w="100" w:type="dxa"/>
            </w:tcMar>
          </w:tcPr>
          <w:p w14:paraId="60B5AEF9" w14:textId="77777777" w:rsidR="00836BBB" w:rsidRDefault="002528E0">
            <w:pPr>
              <w:widowControl w:val="0"/>
              <w:spacing w:line="240" w:lineRule="auto"/>
              <w:contextualSpacing w:val="0"/>
            </w:pPr>
            <w:r>
              <w:t>Maintenance</w:t>
            </w:r>
          </w:p>
        </w:tc>
        <w:tc>
          <w:tcPr>
            <w:tcW w:w="1560" w:type="dxa"/>
            <w:shd w:val="clear" w:color="auto" w:fill="auto"/>
            <w:tcMar>
              <w:top w:w="100" w:type="dxa"/>
              <w:left w:w="100" w:type="dxa"/>
              <w:bottom w:w="100" w:type="dxa"/>
              <w:right w:w="100" w:type="dxa"/>
            </w:tcMar>
          </w:tcPr>
          <w:p w14:paraId="35067906" w14:textId="77777777" w:rsidR="00836BBB" w:rsidRDefault="002528E0">
            <w:pPr>
              <w:widowControl w:val="0"/>
              <w:spacing w:line="240" w:lineRule="auto"/>
              <w:contextualSpacing w:val="0"/>
            </w:pPr>
            <w:r>
              <w:t>$2,000</w:t>
            </w:r>
          </w:p>
        </w:tc>
        <w:tc>
          <w:tcPr>
            <w:tcW w:w="1560" w:type="dxa"/>
            <w:shd w:val="clear" w:color="auto" w:fill="auto"/>
            <w:tcMar>
              <w:top w:w="100" w:type="dxa"/>
              <w:left w:w="100" w:type="dxa"/>
              <w:bottom w:w="100" w:type="dxa"/>
              <w:right w:w="100" w:type="dxa"/>
            </w:tcMar>
          </w:tcPr>
          <w:p w14:paraId="545DAA9A" w14:textId="77777777" w:rsidR="00836BBB" w:rsidRDefault="002528E0">
            <w:pPr>
              <w:widowControl w:val="0"/>
              <w:spacing w:line="240" w:lineRule="auto"/>
              <w:contextualSpacing w:val="0"/>
            </w:pPr>
            <w:r>
              <w:t>$2,000</w:t>
            </w:r>
          </w:p>
        </w:tc>
        <w:tc>
          <w:tcPr>
            <w:tcW w:w="1560" w:type="dxa"/>
            <w:shd w:val="clear" w:color="auto" w:fill="auto"/>
            <w:tcMar>
              <w:top w:w="100" w:type="dxa"/>
              <w:left w:w="100" w:type="dxa"/>
              <w:bottom w:w="100" w:type="dxa"/>
              <w:right w:w="100" w:type="dxa"/>
            </w:tcMar>
          </w:tcPr>
          <w:p w14:paraId="2866C477" w14:textId="77777777" w:rsidR="00836BBB" w:rsidRDefault="002528E0">
            <w:pPr>
              <w:widowControl w:val="0"/>
              <w:spacing w:line="240" w:lineRule="auto"/>
              <w:contextualSpacing w:val="0"/>
            </w:pPr>
            <w:r>
              <w:t>$2,000</w:t>
            </w:r>
          </w:p>
        </w:tc>
        <w:tc>
          <w:tcPr>
            <w:tcW w:w="1560" w:type="dxa"/>
            <w:shd w:val="clear" w:color="auto" w:fill="auto"/>
            <w:tcMar>
              <w:top w:w="100" w:type="dxa"/>
              <w:left w:w="100" w:type="dxa"/>
              <w:bottom w:w="100" w:type="dxa"/>
              <w:right w:w="100" w:type="dxa"/>
            </w:tcMar>
          </w:tcPr>
          <w:p w14:paraId="098BE000" w14:textId="77777777" w:rsidR="00836BBB" w:rsidRDefault="002528E0">
            <w:pPr>
              <w:widowControl w:val="0"/>
              <w:spacing w:line="240" w:lineRule="auto"/>
              <w:contextualSpacing w:val="0"/>
            </w:pPr>
            <w:r>
              <w:t>$6,000</w:t>
            </w:r>
          </w:p>
        </w:tc>
        <w:tc>
          <w:tcPr>
            <w:tcW w:w="1560" w:type="dxa"/>
            <w:shd w:val="clear" w:color="auto" w:fill="auto"/>
            <w:tcMar>
              <w:top w:w="100" w:type="dxa"/>
              <w:left w:w="100" w:type="dxa"/>
              <w:bottom w:w="100" w:type="dxa"/>
              <w:right w:w="100" w:type="dxa"/>
            </w:tcMar>
          </w:tcPr>
          <w:p w14:paraId="561D2083" w14:textId="77777777" w:rsidR="00836BBB" w:rsidRDefault="002528E0">
            <w:pPr>
              <w:widowControl w:val="0"/>
              <w:spacing w:line="240" w:lineRule="auto"/>
              <w:contextualSpacing w:val="0"/>
            </w:pPr>
            <w:r>
              <w:t>$6,000,000</w:t>
            </w:r>
          </w:p>
        </w:tc>
      </w:tr>
      <w:tr w:rsidR="00836BBB" w14:paraId="395124F9" w14:textId="77777777">
        <w:tc>
          <w:tcPr>
            <w:tcW w:w="1560" w:type="dxa"/>
            <w:shd w:val="clear" w:color="auto" w:fill="auto"/>
            <w:tcMar>
              <w:top w:w="100" w:type="dxa"/>
              <w:left w:w="100" w:type="dxa"/>
              <w:bottom w:w="100" w:type="dxa"/>
              <w:right w:w="100" w:type="dxa"/>
            </w:tcMar>
          </w:tcPr>
          <w:p w14:paraId="47EBE2A3" w14:textId="77777777" w:rsidR="00836BBB" w:rsidRDefault="002528E0">
            <w:pPr>
              <w:widowControl w:val="0"/>
              <w:spacing w:line="240" w:lineRule="auto"/>
              <w:contextualSpacing w:val="0"/>
            </w:pPr>
            <w:r>
              <w:t>Total</w:t>
            </w:r>
          </w:p>
        </w:tc>
        <w:tc>
          <w:tcPr>
            <w:tcW w:w="1560" w:type="dxa"/>
            <w:shd w:val="clear" w:color="auto" w:fill="auto"/>
            <w:tcMar>
              <w:top w:w="100" w:type="dxa"/>
              <w:left w:w="100" w:type="dxa"/>
              <w:bottom w:w="100" w:type="dxa"/>
              <w:right w:w="100" w:type="dxa"/>
            </w:tcMar>
          </w:tcPr>
          <w:p w14:paraId="3F627044" w14:textId="77777777" w:rsidR="00836BBB" w:rsidRDefault="002528E0">
            <w:pPr>
              <w:widowControl w:val="0"/>
              <w:spacing w:line="240" w:lineRule="auto"/>
              <w:contextualSpacing w:val="0"/>
            </w:pPr>
            <w:r>
              <w:t>$10,000</w:t>
            </w:r>
          </w:p>
        </w:tc>
        <w:tc>
          <w:tcPr>
            <w:tcW w:w="1560" w:type="dxa"/>
            <w:shd w:val="clear" w:color="auto" w:fill="auto"/>
            <w:tcMar>
              <w:top w:w="100" w:type="dxa"/>
              <w:left w:w="100" w:type="dxa"/>
              <w:bottom w:w="100" w:type="dxa"/>
              <w:right w:w="100" w:type="dxa"/>
            </w:tcMar>
          </w:tcPr>
          <w:p w14:paraId="3E79AD81" w14:textId="77777777" w:rsidR="00836BBB" w:rsidRDefault="002528E0">
            <w:pPr>
              <w:widowControl w:val="0"/>
              <w:spacing w:line="240" w:lineRule="auto"/>
              <w:contextualSpacing w:val="0"/>
            </w:pPr>
            <w:r>
              <w:t>$2,000</w:t>
            </w:r>
          </w:p>
        </w:tc>
        <w:tc>
          <w:tcPr>
            <w:tcW w:w="1560" w:type="dxa"/>
            <w:shd w:val="clear" w:color="auto" w:fill="auto"/>
            <w:tcMar>
              <w:top w:w="100" w:type="dxa"/>
              <w:left w:w="100" w:type="dxa"/>
              <w:bottom w:w="100" w:type="dxa"/>
              <w:right w:w="100" w:type="dxa"/>
            </w:tcMar>
          </w:tcPr>
          <w:p w14:paraId="5D020EAB" w14:textId="77777777" w:rsidR="00836BBB" w:rsidRDefault="002528E0">
            <w:pPr>
              <w:widowControl w:val="0"/>
              <w:spacing w:line="240" w:lineRule="auto"/>
              <w:contextualSpacing w:val="0"/>
            </w:pPr>
            <w:r>
              <w:t>$2,000</w:t>
            </w:r>
          </w:p>
        </w:tc>
        <w:tc>
          <w:tcPr>
            <w:tcW w:w="1560" w:type="dxa"/>
            <w:shd w:val="clear" w:color="auto" w:fill="auto"/>
            <w:tcMar>
              <w:top w:w="100" w:type="dxa"/>
              <w:left w:w="100" w:type="dxa"/>
              <w:bottom w:w="100" w:type="dxa"/>
              <w:right w:w="100" w:type="dxa"/>
            </w:tcMar>
          </w:tcPr>
          <w:p w14:paraId="32F9AA09" w14:textId="77777777" w:rsidR="00836BBB" w:rsidRDefault="002528E0">
            <w:pPr>
              <w:widowControl w:val="0"/>
              <w:spacing w:line="240" w:lineRule="auto"/>
              <w:contextualSpacing w:val="0"/>
            </w:pPr>
            <w:r>
              <w:t>$14,000</w:t>
            </w:r>
          </w:p>
        </w:tc>
        <w:tc>
          <w:tcPr>
            <w:tcW w:w="1560" w:type="dxa"/>
            <w:shd w:val="clear" w:color="auto" w:fill="auto"/>
            <w:tcMar>
              <w:top w:w="100" w:type="dxa"/>
              <w:left w:w="100" w:type="dxa"/>
              <w:bottom w:w="100" w:type="dxa"/>
              <w:right w:w="100" w:type="dxa"/>
            </w:tcMar>
          </w:tcPr>
          <w:p w14:paraId="2EFCF509" w14:textId="77777777" w:rsidR="00836BBB" w:rsidRDefault="002528E0">
            <w:pPr>
              <w:widowControl w:val="0"/>
              <w:spacing w:line="240" w:lineRule="auto"/>
              <w:contextualSpacing w:val="0"/>
            </w:pPr>
            <w:r>
              <w:t>$14,000,000</w:t>
            </w:r>
          </w:p>
        </w:tc>
      </w:tr>
      <w:tr w:rsidR="00836BBB" w14:paraId="72F07C9A" w14:textId="77777777">
        <w:tc>
          <w:tcPr>
            <w:tcW w:w="1560" w:type="dxa"/>
            <w:shd w:val="clear" w:color="auto" w:fill="auto"/>
            <w:tcMar>
              <w:top w:w="100" w:type="dxa"/>
              <w:left w:w="100" w:type="dxa"/>
              <w:bottom w:w="100" w:type="dxa"/>
              <w:right w:w="100" w:type="dxa"/>
            </w:tcMar>
          </w:tcPr>
          <w:p w14:paraId="790441F7" w14:textId="77777777" w:rsidR="00836BBB" w:rsidRDefault="00836BBB">
            <w:pPr>
              <w:widowControl w:val="0"/>
              <w:spacing w:line="240" w:lineRule="auto"/>
              <w:contextualSpacing w:val="0"/>
            </w:pPr>
          </w:p>
        </w:tc>
        <w:tc>
          <w:tcPr>
            <w:tcW w:w="1560" w:type="dxa"/>
            <w:shd w:val="clear" w:color="auto" w:fill="auto"/>
            <w:tcMar>
              <w:top w:w="100" w:type="dxa"/>
              <w:left w:w="100" w:type="dxa"/>
              <w:bottom w:w="100" w:type="dxa"/>
              <w:right w:w="100" w:type="dxa"/>
            </w:tcMar>
          </w:tcPr>
          <w:p w14:paraId="336394F2" w14:textId="77777777" w:rsidR="00836BBB" w:rsidRDefault="00836BBB">
            <w:pPr>
              <w:widowControl w:val="0"/>
              <w:spacing w:line="240" w:lineRule="auto"/>
              <w:contextualSpacing w:val="0"/>
            </w:pPr>
          </w:p>
        </w:tc>
        <w:tc>
          <w:tcPr>
            <w:tcW w:w="1560" w:type="dxa"/>
            <w:shd w:val="clear" w:color="auto" w:fill="auto"/>
            <w:tcMar>
              <w:top w:w="100" w:type="dxa"/>
              <w:left w:w="100" w:type="dxa"/>
              <w:bottom w:w="100" w:type="dxa"/>
              <w:right w:w="100" w:type="dxa"/>
            </w:tcMar>
          </w:tcPr>
          <w:p w14:paraId="0E55D744" w14:textId="77777777" w:rsidR="00836BBB" w:rsidRDefault="00836BBB">
            <w:pPr>
              <w:widowControl w:val="0"/>
              <w:spacing w:line="240" w:lineRule="auto"/>
              <w:contextualSpacing w:val="0"/>
            </w:pPr>
          </w:p>
        </w:tc>
        <w:tc>
          <w:tcPr>
            <w:tcW w:w="1560" w:type="dxa"/>
            <w:shd w:val="clear" w:color="auto" w:fill="auto"/>
            <w:tcMar>
              <w:top w:w="100" w:type="dxa"/>
              <w:left w:w="100" w:type="dxa"/>
              <w:bottom w:w="100" w:type="dxa"/>
              <w:right w:w="100" w:type="dxa"/>
            </w:tcMar>
          </w:tcPr>
          <w:p w14:paraId="0E300CE5" w14:textId="77777777" w:rsidR="00836BBB" w:rsidRDefault="00836BBB">
            <w:pPr>
              <w:widowControl w:val="0"/>
              <w:spacing w:line="240" w:lineRule="auto"/>
              <w:contextualSpacing w:val="0"/>
            </w:pPr>
          </w:p>
        </w:tc>
        <w:tc>
          <w:tcPr>
            <w:tcW w:w="1560" w:type="dxa"/>
            <w:shd w:val="clear" w:color="auto" w:fill="auto"/>
            <w:tcMar>
              <w:top w:w="100" w:type="dxa"/>
              <w:left w:w="100" w:type="dxa"/>
              <w:bottom w:w="100" w:type="dxa"/>
              <w:right w:w="100" w:type="dxa"/>
            </w:tcMar>
          </w:tcPr>
          <w:p w14:paraId="646B61B7" w14:textId="77777777" w:rsidR="00836BBB" w:rsidRDefault="00836BBB">
            <w:pPr>
              <w:widowControl w:val="0"/>
              <w:spacing w:line="240" w:lineRule="auto"/>
              <w:contextualSpacing w:val="0"/>
            </w:pPr>
          </w:p>
        </w:tc>
        <w:tc>
          <w:tcPr>
            <w:tcW w:w="1560" w:type="dxa"/>
            <w:shd w:val="clear" w:color="auto" w:fill="auto"/>
            <w:tcMar>
              <w:top w:w="100" w:type="dxa"/>
              <w:left w:w="100" w:type="dxa"/>
              <w:bottom w:w="100" w:type="dxa"/>
              <w:right w:w="100" w:type="dxa"/>
            </w:tcMar>
          </w:tcPr>
          <w:p w14:paraId="06908FFC" w14:textId="77777777" w:rsidR="00836BBB" w:rsidRDefault="00836BBB">
            <w:pPr>
              <w:widowControl w:val="0"/>
              <w:spacing w:line="240" w:lineRule="auto"/>
              <w:contextualSpacing w:val="0"/>
            </w:pPr>
          </w:p>
        </w:tc>
      </w:tr>
    </w:tbl>
    <w:p w14:paraId="0EE919C8" w14:textId="77777777" w:rsidR="00836BBB" w:rsidRDefault="00836BBB">
      <w:pPr>
        <w:contextualSpacing w:val="0"/>
      </w:pPr>
    </w:p>
    <w:p w14:paraId="1F8ECE9F" w14:textId="77777777" w:rsidR="00836BBB" w:rsidRDefault="00836BBB">
      <w:pPr>
        <w:contextualSpacing w:val="0"/>
      </w:pPr>
    </w:p>
    <w:p w14:paraId="44996FBF" w14:textId="77777777" w:rsidR="00836BBB" w:rsidRDefault="00836BBB">
      <w:pPr>
        <w:contextualSpacing w:val="0"/>
      </w:pPr>
    </w:p>
    <w:tbl>
      <w:tblPr>
        <w:tblStyle w:val="a0"/>
        <w:tblW w:w="82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1440"/>
        <w:gridCol w:w="1395"/>
        <w:gridCol w:w="1395"/>
        <w:gridCol w:w="1710"/>
      </w:tblGrid>
      <w:tr w:rsidR="00836BBB" w14:paraId="480097DA" w14:textId="77777777">
        <w:tc>
          <w:tcPr>
            <w:tcW w:w="2280" w:type="dxa"/>
            <w:shd w:val="clear" w:color="auto" w:fill="auto"/>
            <w:tcMar>
              <w:top w:w="100" w:type="dxa"/>
              <w:left w:w="100" w:type="dxa"/>
              <w:bottom w:w="100" w:type="dxa"/>
              <w:right w:w="100" w:type="dxa"/>
            </w:tcMar>
          </w:tcPr>
          <w:p w14:paraId="4D60BEE3" w14:textId="77777777" w:rsidR="00836BBB" w:rsidRDefault="002528E0">
            <w:pPr>
              <w:widowControl w:val="0"/>
              <w:spacing w:line="240" w:lineRule="auto"/>
              <w:contextualSpacing w:val="0"/>
            </w:pPr>
            <w:r>
              <w:t>80 VMware</w:t>
            </w:r>
          </w:p>
          <w:p w14:paraId="1387F5C4" w14:textId="77777777" w:rsidR="00836BBB" w:rsidRDefault="002528E0">
            <w:pPr>
              <w:widowControl w:val="0"/>
              <w:spacing w:line="240" w:lineRule="auto"/>
              <w:contextualSpacing w:val="0"/>
            </w:pPr>
            <w:r>
              <w:t>200 Original Servers</w:t>
            </w:r>
          </w:p>
          <w:p w14:paraId="61EC17E0" w14:textId="77777777" w:rsidR="00836BBB" w:rsidRDefault="00836BBB">
            <w:pPr>
              <w:widowControl w:val="0"/>
              <w:spacing w:line="240" w:lineRule="auto"/>
              <w:contextualSpacing w:val="0"/>
            </w:pPr>
          </w:p>
        </w:tc>
        <w:tc>
          <w:tcPr>
            <w:tcW w:w="1440" w:type="dxa"/>
            <w:shd w:val="clear" w:color="auto" w:fill="auto"/>
            <w:tcMar>
              <w:top w:w="100" w:type="dxa"/>
              <w:left w:w="100" w:type="dxa"/>
              <w:bottom w:w="100" w:type="dxa"/>
              <w:right w:w="100" w:type="dxa"/>
            </w:tcMar>
          </w:tcPr>
          <w:p w14:paraId="395CC4A4" w14:textId="77777777" w:rsidR="00836BBB" w:rsidRDefault="002528E0">
            <w:pPr>
              <w:widowControl w:val="0"/>
              <w:spacing w:line="240" w:lineRule="auto"/>
              <w:contextualSpacing w:val="0"/>
            </w:pPr>
            <w:r>
              <w:t>Year 1</w:t>
            </w:r>
          </w:p>
        </w:tc>
        <w:tc>
          <w:tcPr>
            <w:tcW w:w="1395" w:type="dxa"/>
            <w:shd w:val="clear" w:color="auto" w:fill="auto"/>
            <w:tcMar>
              <w:top w:w="100" w:type="dxa"/>
              <w:left w:w="100" w:type="dxa"/>
              <w:bottom w:w="100" w:type="dxa"/>
              <w:right w:w="100" w:type="dxa"/>
            </w:tcMar>
          </w:tcPr>
          <w:p w14:paraId="36F0A05E" w14:textId="77777777" w:rsidR="00836BBB" w:rsidRDefault="002528E0">
            <w:pPr>
              <w:widowControl w:val="0"/>
              <w:spacing w:line="240" w:lineRule="auto"/>
              <w:contextualSpacing w:val="0"/>
            </w:pPr>
            <w:r>
              <w:t>Year 2</w:t>
            </w:r>
          </w:p>
        </w:tc>
        <w:tc>
          <w:tcPr>
            <w:tcW w:w="1395" w:type="dxa"/>
            <w:shd w:val="clear" w:color="auto" w:fill="auto"/>
            <w:tcMar>
              <w:top w:w="100" w:type="dxa"/>
              <w:left w:w="100" w:type="dxa"/>
              <w:bottom w:w="100" w:type="dxa"/>
              <w:right w:w="100" w:type="dxa"/>
            </w:tcMar>
          </w:tcPr>
          <w:p w14:paraId="4845195A" w14:textId="77777777" w:rsidR="00836BBB" w:rsidRDefault="002528E0">
            <w:pPr>
              <w:widowControl w:val="0"/>
              <w:spacing w:line="240" w:lineRule="auto"/>
              <w:contextualSpacing w:val="0"/>
            </w:pPr>
            <w:r>
              <w:t>Year 3</w:t>
            </w:r>
          </w:p>
        </w:tc>
        <w:tc>
          <w:tcPr>
            <w:tcW w:w="1710" w:type="dxa"/>
            <w:shd w:val="clear" w:color="auto" w:fill="auto"/>
            <w:tcMar>
              <w:top w:w="100" w:type="dxa"/>
              <w:left w:w="100" w:type="dxa"/>
              <w:bottom w:w="100" w:type="dxa"/>
              <w:right w:w="100" w:type="dxa"/>
            </w:tcMar>
          </w:tcPr>
          <w:p w14:paraId="1DEA7E6B" w14:textId="77777777" w:rsidR="00836BBB" w:rsidRDefault="002528E0">
            <w:pPr>
              <w:widowControl w:val="0"/>
              <w:spacing w:line="240" w:lineRule="auto"/>
              <w:contextualSpacing w:val="0"/>
            </w:pPr>
            <w:r>
              <w:t>Total for all servers (1000)</w:t>
            </w:r>
          </w:p>
        </w:tc>
      </w:tr>
      <w:tr w:rsidR="00836BBB" w14:paraId="3E4E3F02" w14:textId="77777777">
        <w:tc>
          <w:tcPr>
            <w:tcW w:w="2280" w:type="dxa"/>
            <w:shd w:val="clear" w:color="auto" w:fill="auto"/>
            <w:tcMar>
              <w:top w:w="100" w:type="dxa"/>
              <w:left w:w="100" w:type="dxa"/>
              <w:bottom w:w="100" w:type="dxa"/>
              <w:right w:w="100" w:type="dxa"/>
            </w:tcMar>
          </w:tcPr>
          <w:p w14:paraId="59CE5CE3" w14:textId="77777777" w:rsidR="00836BBB" w:rsidRDefault="002528E0">
            <w:pPr>
              <w:widowControl w:val="0"/>
              <w:spacing w:line="240" w:lineRule="auto"/>
              <w:contextualSpacing w:val="0"/>
            </w:pPr>
            <w:r>
              <w:t>Initial Cost of VMware</w:t>
            </w:r>
          </w:p>
        </w:tc>
        <w:tc>
          <w:tcPr>
            <w:tcW w:w="1440" w:type="dxa"/>
            <w:shd w:val="clear" w:color="auto" w:fill="auto"/>
            <w:tcMar>
              <w:top w:w="100" w:type="dxa"/>
              <w:left w:w="100" w:type="dxa"/>
              <w:bottom w:w="100" w:type="dxa"/>
              <w:right w:w="100" w:type="dxa"/>
            </w:tcMar>
          </w:tcPr>
          <w:p w14:paraId="5CCE505F" w14:textId="77777777" w:rsidR="00836BBB" w:rsidRDefault="002528E0">
            <w:pPr>
              <w:widowControl w:val="0"/>
              <w:spacing w:line="240" w:lineRule="auto"/>
              <w:contextualSpacing w:val="0"/>
            </w:pPr>
            <w:r>
              <w:t>$1,280,000</w:t>
            </w:r>
          </w:p>
        </w:tc>
        <w:tc>
          <w:tcPr>
            <w:tcW w:w="1395" w:type="dxa"/>
            <w:shd w:val="clear" w:color="auto" w:fill="auto"/>
            <w:tcMar>
              <w:top w:w="100" w:type="dxa"/>
              <w:left w:w="100" w:type="dxa"/>
              <w:bottom w:w="100" w:type="dxa"/>
              <w:right w:w="100" w:type="dxa"/>
            </w:tcMar>
          </w:tcPr>
          <w:p w14:paraId="71EE3988" w14:textId="77777777" w:rsidR="00836BBB" w:rsidRDefault="002528E0">
            <w:pPr>
              <w:widowControl w:val="0"/>
              <w:spacing w:line="240" w:lineRule="auto"/>
              <w:contextualSpacing w:val="0"/>
            </w:pPr>
            <w:r>
              <w:t>0</w:t>
            </w:r>
          </w:p>
        </w:tc>
        <w:tc>
          <w:tcPr>
            <w:tcW w:w="1395" w:type="dxa"/>
            <w:shd w:val="clear" w:color="auto" w:fill="auto"/>
            <w:tcMar>
              <w:top w:w="100" w:type="dxa"/>
              <w:left w:w="100" w:type="dxa"/>
              <w:bottom w:w="100" w:type="dxa"/>
              <w:right w:w="100" w:type="dxa"/>
            </w:tcMar>
          </w:tcPr>
          <w:p w14:paraId="5B21FB42" w14:textId="77777777" w:rsidR="00836BBB" w:rsidRDefault="002528E0">
            <w:pPr>
              <w:widowControl w:val="0"/>
              <w:spacing w:line="240" w:lineRule="auto"/>
              <w:contextualSpacing w:val="0"/>
            </w:pPr>
            <w:r>
              <w:t>0</w:t>
            </w:r>
          </w:p>
        </w:tc>
        <w:tc>
          <w:tcPr>
            <w:tcW w:w="1710" w:type="dxa"/>
            <w:shd w:val="clear" w:color="auto" w:fill="auto"/>
            <w:tcMar>
              <w:top w:w="100" w:type="dxa"/>
              <w:left w:w="100" w:type="dxa"/>
              <w:bottom w:w="100" w:type="dxa"/>
              <w:right w:w="100" w:type="dxa"/>
            </w:tcMar>
          </w:tcPr>
          <w:p w14:paraId="41B0FFB3" w14:textId="77777777" w:rsidR="00836BBB" w:rsidRDefault="002528E0">
            <w:pPr>
              <w:widowControl w:val="0"/>
              <w:spacing w:line="240" w:lineRule="auto"/>
              <w:contextualSpacing w:val="0"/>
            </w:pPr>
            <w:r>
              <w:t>$1,280,000</w:t>
            </w:r>
          </w:p>
        </w:tc>
      </w:tr>
      <w:tr w:rsidR="00836BBB" w14:paraId="1B76522D" w14:textId="77777777">
        <w:tc>
          <w:tcPr>
            <w:tcW w:w="2280" w:type="dxa"/>
            <w:shd w:val="clear" w:color="auto" w:fill="auto"/>
            <w:tcMar>
              <w:top w:w="100" w:type="dxa"/>
              <w:left w:w="100" w:type="dxa"/>
              <w:bottom w:w="100" w:type="dxa"/>
              <w:right w:w="100" w:type="dxa"/>
            </w:tcMar>
          </w:tcPr>
          <w:p w14:paraId="5AD4066B" w14:textId="77777777" w:rsidR="00836BBB" w:rsidRDefault="002528E0">
            <w:pPr>
              <w:widowControl w:val="0"/>
              <w:spacing w:line="240" w:lineRule="auto"/>
              <w:contextualSpacing w:val="0"/>
            </w:pPr>
            <w:r>
              <w:t>Initial Cost of Original Servers</w:t>
            </w:r>
          </w:p>
        </w:tc>
        <w:tc>
          <w:tcPr>
            <w:tcW w:w="1440" w:type="dxa"/>
            <w:shd w:val="clear" w:color="auto" w:fill="auto"/>
            <w:tcMar>
              <w:top w:w="100" w:type="dxa"/>
              <w:left w:w="100" w:type="dxa"/>
              <w:bottom w:w="100" w:type="dxa"/>
              <w:right w:w="100" w:type="dxa"/>
            </w:tcMar>
          </w:tcPr>
          <w:p w14:paraId="130716C8" w14:textId="77777777" w:rsidR="00836BBB" w:rsidRDefault="002528E0">
            <w:pPr>
              <w:widowControl w:val="0"/>
              <w:spacing w:line="240" w:lineRule="auto"/>
              <w:contextualSpacing w:val="0"/>
            </w:pPr>
            <w:r>
              <w:t>$1,600,000</w:t>
            </w:r>
          </w:p>
        </w:tc>
        <w:tc>
          <w:tcPr>
            <w:tcW w:w="1395" w:type="dxa"/>
            <w:shd w:val="clear" w:color="auto" w:fill="auto"/>
            <w:tcMar>
              <w:top w:w="100" w:type="dxa"/>
              <w:left w:w="100" w:type="dxa"/>
              <w:bottom w:w="100" w:type="dxa"/>
              <w:right w:w="100" w:type="dxa"/>
            </w:tcMar>
          </w:tcPr>
          <w:p w14:paraId="1201BD51" w14:textId="77777777" w:rsidR="00836BBB" w:rsidRDefault="002528E0">
            <w:pPr>
              <w:widowControl w:val="0"/>
              <w:spacing w:line="240" w:lineRule="auto"/>
              <w:contextualSpacing w:val="0"/>
            </w:pPr>
            <w:r>
              <w:t>0</w:t>
            </w:r>
          </w:p>
        </w:tc>
        <w:tc>
          <w:tcPr>
            <w:tcW w:w="1395" w:type="dxa"/>
            <w:shd w:val="clear" w:color="auto" w:fill="auto"/>
            <w:tcMar>
              <w:top w:w="100" w:type="dxa"/>
              <w:left w:w="100" w:type="dxa"/>
              <w:bottom w:w="100" w:type="dxa"/>
              <w:right w:w="100" w:type="dxa"/>
            </w:tcMar>
          </w:tcPr>
          <w:p w14:paraId="67C88AEA" w14:textId="77777777" w:rsidR="00836BBB" w:rsidRDefault="002528E0">
            <w:pPr>
              <w:widowControl w:val="0"/>
              <w:spacing w:line="240" w:lineRule="auto"/>
              <w:contextualSpacing w:val="0"/>
            </w:pPr>
            <w:r>
              <w:t>0</w:t>
            </w:r>
          </w:p>
        </w:tc>
        <w:tc>
          <w:tcPr>
            <w:tcW w:w="1710" w:type="dxa"/>
            <w:shd w:val="clear" w:color="auto" w:fill="auto"/>
            <w:tcMar>
              <w:top w:w="100" w:type="dxa"/>
              <w:left w:w="100" w:type="dxa"/>
              <w:bottom w:w="100" w:type="dxa"/>
              <w:right w:w="100" w:type="dxa"/>
            </w:tcMar>
          </w:tcPr>
          <w:p w14:paraId="13861F95" w14:textId="77777777" w:rsidR="00836BBB" w:rsidRDefault="002528E0">
            <w:pPr>
              <w:widowControl w:val="0"/>
              <w:spacing w:line="240" w:lineRule="auto"/>
              <w:contextualSpacing w:val="0"/>
            </w:pPr>
            <w:r>
              <w:t>$1,600,000</w:t>
            </w:r>
          </w:p>
        </w:tc>
      </w:tr>
      <w:tr w:rsidR="00836BBB" w14:paraId="3AFB7AE0" w14:textId="77777777">
        <w:tc>
          <w:tcPr>
            <w:tcW w:w="2280" w:type="dxa"/>
            <w:shd w:val="clear" w:color="auto" w:fill="auto"/>
            <w:tcMar>
              <w:top w:w="100" w:type="dxa"/>
              <w:left w:w="100" w:type="dxa"/>
              <w:bottom w:w="100" w:type="dxa"/>
              <w:right w:w="100" w:type="dxa"/>
            </w:tcMar>
          </w:tcPr>
          <w:p w14:paraId="253B40EC" w14:textId="77777777" w:rsidR="00836BBB" w:rsidRDefault="002528E0">
            <w:pPr>
              <w:widowControl w:val="0"/>
              <w:spacing w:line="240" w:lineRule="auto"/>
              <w:contextualSpacing w:val="0"/>
            </w:pPr>
            <w:r>
              <w:t>Maintenance cost of VMware</w:t>
            </w:r>
          </w:p>
        </w:tc>
        <w:tc>
          <w:tcPr>
            <w:tcW w:w="1440" w:type="dxa"/>
            <w:shd w:val="clear" w:color="auto" w:fill="auto"/>
            <w:tcMar>
              <w:top w:w="100" w:type="dxa"/>
              <w:left w:w="100" w:type="dxa"/>
              <w:bottom w:w="100" w:type="dxa"/>
              <w:right w:w="100" w:type="dxa"/>
            </w:tcMar>
          </w:tcPr>
          <w:p w14:paraId="6D365687" w14:textId="77777777" w:rsidR="00836BBB" w:rsidRDefault="002528E0">
            <w:pPr>
              <w:widowControl w:val="0"/>
              <w:spacing w:line="240" w:lineRule="auto"/>
              <w:contextualSpacing w:val="0"/>
            </w:pPr>
            <w:r>
              <w:t>$240,000</w:t>
            </w:r>
          </w:p>
        </w:tc>
        <w:tc>
          <w:tcPr>
            <w:tcW w:w="1395" w:type="dxa"/>
            <w:shd w:val="clear" w:color="auto" w:fill="auto"/>
            <w:tcMar>
              <w:top w:w="100" w:type="dxa"/>
              <w:left w:w="100" w:type="dxa"/>
              <w:bottom w:w="100" w:type="dxa"/>
              <w:right w:w="100" w:type="dxa"/>
            </w:tcMar>
          </w:tcPr>
          <w:p w14:paraId="58A26D1B" w14:textId="77777777" w:rsidR="00836BBB" w:rsidRDefault="002528E0">
            <w:pPr>
              <w:widowControl w:val="0"/>
              <w:spacing w:line="240" w:lineRule="auto"/>
              <w:contextualSpacing w:val="0"/>
            </w:pPr>
            <w:r>
              <w:t>$240,000</w:t>
            </w:r>
          </w:p>
        </w:tc>
        <w:tc>
          <w:tcPr>
            <w:tcW w:w="1395" w:type="dxa"/>
            <w:shd w:val="clear" w:color="auto" w:fill="auto"/>
            <w:tcMar>
              <w:top w:w="100" w:type="dxa"/>
              <w:left w:w="100" w:type="dxa"/>
              <w:bottom w:w="100" w:type="dxa"/>
              <w:right w:w="100" w:type="dxa"/>
            </w:tcMar>
          </w:tcPr>
          <w:p w14:paraId="6A408C95" w14:textId="77777777" w:rsidR="00836BBB" w:rsidRDefault="002528E0">
            <w:pPr>
              <w:widowControl w:val="0"/>
              <w:spacing w:line="240" w:lineRule="auto"/>
              <w:contextualSpacing w:val="0"/>
            </w:pPr>
            <w:r>
              <w:t>$240,000</w:t>
            </w:r>
          </w:p>
        </w:tc>
        <w:tc>
          <w:tcPr>
            <w:tcW w:w="1710" w:type="dxa"/>
            <w:shd w:val="clear" w:color="auto" w:fill="auto"/>
            <w:tcMar>
              <w:top w:w="100" w:type="dxa"/>
              <w:left w:w="100" w:type="dxa"/>
              <w:bottom w:w="100" w:type="dxa"/>
              <w:right w:w="100" w:type="dxa"/>
            </w:tcMar>
          </w:tcPr>
          <w:p w14:paraId="495E1FEC" w14:textId="77777777" w:rsidR="00836BBB" w:rsidRDefault="002528E0">
            <w:pPr>
              <w:widowControl w:val="0"/>
              <w:spacing w:line="240" w:lineRule="auto"/>
              <w:contextualSpacing w:val="0"/>
            </w:pPr>
            <w:r>
              <w:t>$720,000</w:t>
            </w:r>
          </w:p>
        </w:tc>
      </w:tr>
      <w:tr w:rsidR="00836BBB" w14:paraId="00AE512B" w14:textId="77777777">
        <w:tc>
          <w:tcPr>
            <w:tcW w:w="2280" w:type="dxa"/>
            <w:shd w:val="clear" w:color="auto" w:fill="auto"/>
            <w:tcMar>
              <w:top w:w="100" w:type="dxa"/>
              <w:left w:w="100" w:type="dxa"/>
              <w:bottom w:w="100" w:type="dxa"/>
              <w:right w:w="100" w:type="dxa"/>
            </w:tcMar>
          </w:tcPr>
          <w:p w14:paraId="5CA5AA8E" w14:textId="77777777" w:rsidR="00836BBB" w:rsidRDefault="002528E0">
            <w:pPr>
              <w:widowControl w:val="0"/>
              <w:spacing w:line="240" w:lineRule="auto"/>
              <w:contextualSpacing w:val="0"/>
            </w:pPr>
            <w:r>
              <w:t>Maintenance cost of Original Servers</w:t>
            </w:r>
          </w:p>
        </w:tc>
        <w:tc>
          <w:tcPr>
            <w:tcW w:w="1440" w:type="dxa"/>
            <w:shd w:val="clear" w:color="auto" w:fill="auto"/>
            <w:tcMar>
              <w:top w:w="100" w:type="dxa"/>
              <w:left w:w="100" w:type="dxa"/>
              <w:bottom w:w="100" w:type="dxa"/>
              <w:right w:w="100" w:type="dxa"/>
            </w:tcMar>
          </w:tcPr>
          <w:p w14:paraId="5A8CF8DA" w14:textId="77777777" w:rsidR="00836BBB" w:rsidRDefault="002528E0">
            <w:pPr>
              <w:widowControl w:val="0"/>
              <w:spacing w:line="240" w:lineRule="auto"/>
              <w:contextualSpacing w:val="0"/>
            </w:pPr>
            <w:r>
              <w:t>$400,000</w:t>
            </w:r>
          </w:p>
        </w:tc>
        <w:tc>
          <w:tcPr>
            <w:tcW w:w="1395" w:type="dxa"/>
            <w:shd w:val="clear" w:color="auto" w:fill="auto"/>
            <w:tcMar>
              <w:top w:w="100" w:type="dxa"/>
              <w:left w:w="100" w:type="dxa"/>
              <w:bottom w:w="100" w:type="dxa"/>
              <w:right w:w="100" w:type="dxa"/>
            </w:tcMar>
          </w:tcPr>
          <w:p w14:paraId="6D33B948" w14:textId="77777777" w:rsidR="00836BBB" w:rsidRDefault="002528E0">
            <w:pPr>
              <w:widowControl w:val="0"/>
              <w:spacing w:line="240" w:lineRule="auto"/>
              <w:contextualSpacing w:val="0"/>
            </w:pPr>
            <w:r>
              <w:t>$400,000</w:t>
            </w:r>
          </w:p>
        </w:tc>
        <w:tc>
          <w:tcPr>
            <w:tcW w:w="1395" w:type="dxa"/>
            <w:shd w:val="clear" w:color="auto" w:fill="auto"/>
            <w:tcMar>
              <w:top w:w="100" w:type="dxa"/>
              <w:left w:w="100" w:type="dxa"/>
              <w:bottom w:w="100" w:type="dxa"/>
              <w:right w:w="100" w:type="dxa"/>
            </w:tcMar>
          </w:tcPr>
          <w:p w14:paraId="7457E32F" w14:textId="77777777" w:rsidR="00836BBB" w:rsidRDefault="002528E0">
            <w:pPr>
              <w:widowControl w:val="0"/>
              <w:spacing w:line="240" w:lineRule="auto"/>
              <w:contextualSpacing w:val="0"/>
            </w:pPr>
            <w:r>
              <w:t>$400,000</w:t>
            </w:r>
          </w:p>
        </w:tc>
        <w:tc>
          <w:tcPr>
            <w:tcW w:w="1710" w:type="dxa"/>
            <w:shd w:val="clear" w:color="auto" w:fill="auto"/>
            <w:tcMar>
              <w:top w:w="100" w:type="dxa"/>
              <w:left w:w="100" w:type="dxa"/>
              <w:bottom w:w="100" w:type="dxa"/>
              <w:right w:w="100" w:type="dxa"/>
            </w:tcMar>
          </w:tcPr>
          <w:p w14:paraId="6AB36ECB" w14:textId="77777777" w:rsidR="00836BBB" w:rsidRDefault="002528E0">
            <w:pPr>
              <w:widowControl w:val="0"/>
              <w:spacing w:line="240" w:lineRule="auto"/>
              <w:contextualSpacing w:val="0"/>
            </w:pPr>
            <w:r>
              <w:t>$1,200,000</w:t>
            </w:r>
          </w:p>
        </w:tc>
      </w:tr>
      <w:tr w:rsidR="00836BBB" w14:paraId="28693F4B" w14:textId="77777777">
        <w:tc>
          <w:tcPr>
            <w:tcW w:w="2280" w:type="dxa"/>
            <w:shd w:val="clear" w:color="auto" w:fill="auto"/>
            <w:tcMar>
              <w:top w:w="100" w:type="dxa"/>
              <w:left w:w="100" w:type="dxa"/>
              <w:bottom w:w="100" w:type="dxa"/>
              <w:right w:w="100" w:type="dxa"/>
            </w:tcMar>
          </w:tcPr>
          <w:p w14:paraId="3A6C95EB" w14:textId="77777777" w:rsidR="00836BBB" w:rsidRDefault="002528E0">
            <w:pPr>
              <w:widowControl w:val="0"/>
              <w:spacing w:line="240" w:lineRule="auto"/>
              <w:contextualSpacing w:val="0"/>
            </w:pPr>
            <w:r>
              <w:t>Total</w:t>
            </w:r>
          </w:p>
        </w:tc>
        <w:tc>
          <w:tcPr>
            <w:tcW w:w="1440" w:type="dxa"/>
            <w:shd w:val="clear" w:color="auto" w:fill="auto"/>
            <w:tcMar>
              <w:top w:w="100" w:type="dxa"/>
              <w:left w:w="100" w:type="dxa"/>
              <w:bottom w:w="100" w:type="dxa"/>
              <w:right w:w="100" w:type="dxa"/>
            </w:tcMar>
          </w:tcPr>
          <w:p w14:paraId="72C03428" w14:textId="77777777" w:rsidR="00836BBB" w:rsidRDefault="002528E0">
            <w:pPr>
              <w:widowControl w:val="0"/>
              <w:spacing w:line="240" w:lineRule="auto"/>
              <w:contextualSpacing w:val="0"/>
            </w:pPr>
            <w:r>
              <w:t>$3,520,000</w:t>
            </w:r>
          </w:p>
        </w:tc>
        <w:tc>
          <w:tcPr>
            <w:tcW w:w="1395" w:type="dxa"/>
            <w:shd w:val="clear" w:color="auto" w:fill="auto"/>
            <w:tcMar>
              <w:top w:w="100" w:type="dxa"/>
              <w:left w:w="100" w:type="dxa"/>
              <w:bottom w:w="100" w:type="dxa"/>
              <w:right w:w="100" w:type="dxa"/>
            </w:tcMar>
          </w:tcPr>
          <w:p w14:paraId="529DDB64" w14:textId="77777777" w:rsidR="00836BBB" w:rsidRDefault="002528E0">
            <w:pPr>
              <w:widowControl w:val="0"/>
              <w:spacing w:line="240" w:lineRule="auto"/>
              <w:contextualSpacing w:val="0"/>
            </w:pPr>
            <w:r>
              <w:t>$640,000</w:t>
            </w:r>
          </w:p>
        </w:tc>
        <w:tc>
          <w:tcPr>
            <w:tcW w:w="1395" w:type="dxa"/>
            <w:shd w:val="clear" w:color="auto" w:fill="auto"/>
            <w:tcMar>
              <w:top w:w="100" w:type="dxa"/>
              <w:left w:w="100" w:type="dxa"/>
              <w:bottom w:w="100" w:type="dxa"/>
              <w:right w:w="100" w:type="dxa"/>
            </w:tcMar>
          </w:tcPr>
          <w:p w14:paraId="0CF664B9" w14:textId="77777777" w:rsidR="00836BBB" w:rsidRDefault="002528E0">
            <w:pPr>
              <w:widowControl w:val="0"/>
              <w:spacing w:line="240" w:lineRule="auto"/>
              <w:contextualSpacing w:val="0"/>
            </w:pPr>
            <w:r>
              <w:t>$640,000</w:t>
            </w:r>
          </w:p>
        </w:tc>
        <w:tc>
          <w:tcPr>
            <w:tcW w:w="1710" w:type="dxa"/>
            <w:shd w:val="clear" w:color="auto" w:fill="auto"/>
            <w:tcMar>
              <w:top w:w="100" w:type="dxa"/>
              <w:left w:w="100" w:type="dxa"/>
              <w:bottom w:w="100" w:type="dxa"/>
              <w:right w:w="100" w:type="dxa"/>
            </w:tcMar>
          </w:tcPr>
          <w:p w14:paraId="6382B511" w14:textId="77777777" w:rsidR="00836BBB" w:rsidRDefault="002528E0">
            <w:pPr>
              <w:widowControl w:val="0"/>
              <w:spacing w:line="240" w:lineRule="auto"/>
              <w:contextualSpacing w:val="0"/>
            </w:pPr>
            <w:r>
              <w:t>$4,800,000</w:t>
            </w:r>
          </w:p>
        </w:tc>
      </w:tr>
    </w:tbl>
    <w:p w14:paraId="68ADEC39" w14:textId="77777777" w:rsidR="00836BBB" w:rsidRDefault="00836BBB">
      <w:pPr>
        <w:contextualSpacing w:val="0"/>
      </w:pPr>
    </w:p>
    <w:p w14:paraId="734C2796" w14:textId="77777777" w:rsidR="00836BBB" w:rsidRDefault="00836BBB">
      <w:pPr>
        <w:contextualSpacing w:val="0"/>
      </w:pPr>
    </w:p>
    <w:p w14:paraId="4B97A060" w14:textId="77777777" w:rsidR="00836BBB" w:rsidRDefault="00836BBB">
      <w:pPr>
        <w:contextualSpacing w:val="0"/>
        <w:jc w:val="center"/>
      </w:pPr>
    </w:p>
    <w:p w14:paraId="12F05885" w14:textId="77777777" w:rsidR="00836BBB" w:rsidRDefault="00836BBB">
      <w:pPr>
        <w:contextualSpacing w:val="0"/>
        <w:jc w:val="center"/>
      </w:pPr>
    </w:p>
    <w:p w14:paraId="2980B165" w14:textId="77777777" w:rsidR="00836BBB" w:rsidRDefault="00836BBB">
      <w:pPr>
        <w:contextualSpacing w:val="0"/>
        <w:jc w:val="center"/>
      </w:pPr>
    </w:p>
    <w:p w14:paraId="492249AE" w14:textId="77777777" w:rsidR="00836BBB" w:rsidRDefault="00836BBB">
      <w:pPr>
        <w:contextualSpacing w:val="0"/>
        <w:jc w:val="center"/>
      </w:pPr>
    </w:p>
    <w:p w14:paraId="437177D2" w14:textId="77777777" w:rsidR="00836BBB" w:rsidRDefault="00836BBB">
      <w:pPr>
        <w:contextualSpacing w:val="0"/>
        <w:jc w:val="center"/>
      </w:pPr>
    </w:p>
    <w:p w14:paraId="730E846F" w14:textId="77777777" w:rsidR="00836BBB" w:rsidRDefault="00836BBB">
      <w:pPr>
        <w:contextualSpacing w:val="0"/>
        <w:jc w:val="center"/>
      </w:pPr>
    </w:p>
    <w:p w14:paraId="72EE39D8" w14:textId="77777777" w:rsidR="00316F81" w:rsidRDefault="00316F81">
      <w:pPr>
        <w:contextualSpacing w:val="0"/>
        <w:jc w:val="center"/>
      </w:pPr>
    </w:p>
    <w:p w14:paraId="5B3119BE" w14:textId="77777777" w:rsidR="00316F81" w:rsidRDefault="00316F81">
      <w:pPr>
        <w:contextualSpacing w:val="0"/>
        <w:jc w:val="center"/>
      </w:pPr>
    </w:p>
    <w:p w14:paraId="1F944A76" w14:textId="77777777" w:rsidR="00316F81" w:rsidRDefault="00316F81">
      <w:pPr>
        <w:contextualSpacing w:val="0"/>
        <w:jc w:val="center"/>
      </w:pPr>
    </w:p>
    <w:p w14:paraId="77CD66F3" w14:textId="77777777" w:rsidR="00316F81" w:rsidRDefault="00316F81">
      <w:pPr>
        <w:contextualSpacing w:val="0"/>
        <w:jc w:val="center"/>
      </w:pPr>
    </w:p>
    <w:p w14:paraId="0EFB8BAA" w14:textId="16F95F65" w:rsidR="00836BBB" w:rsidRDefault="002528E0">
      <w:pPr>
        <w:contextualSpacing w:val="0"/>
        <w:jc w:val="center"/>
      </w:pPr>
      <w:r>
        <w:lastRenderedPageBreak/>
        <w:t xml:space="preserve">References: </w:t>
      </w:r>
    </w:p>
    <w:p w14:paraId="6329BD9D" w14:textId="77777777" w:rsidR="00836BBB" w:rsidRDefault="00836BBB">
      <w:pPr>
        <w:contextualSpacing w:val="0"/>
      </w:pPr>
    </w:p>
    <w:p w14:paraId="535C2D77" w14:textId="77777777" w:rsidR="00836BBB" w:rsidRDefault="002528E0">
      <w:pPr>
        <w:contextualSpacing w:val="0"/>
      </w:pPr>
      <w:r>
        <w:t xml:space="preserve">“VMware – Official Site.” </w:t>
      </w:r>
      <w:r>
        <w:rPr>
          <w:i/>
        </w:rPr>
        <w:t>VMWare</w:t>
      </w:r>
      <w:r>
        <w:t xml:space="preserve">, 16 Feb. 2018, www.vmware.com/. </w:t>
      </w:r>
    </w:p>
    <w:p w14:paraId="12490A9F" w14:textId="77777777" w:rsidR="00836BBB" w:rsidRDefault="00836BBB">
      <w:pPr>
        <w:contextualSpacing w:val="0"/>
      </w:pPr>
    </w:p>
    <w:p w14:paraId="172927D1" w14:textId="77777777" w:rsidR="00836BBB" w:rsidRDefault="002528E0">
      <w:pPr>
        <w:contextualSpacing w:val="0"/>
      </w:pPr>
      <w:r>
        <w:t xml:space="preserve"> “Server Consolidation: Benefits and Challenges.” </w:t>
      </w:r>
      <w:r>
        <w:rPr>
          <w:i/>
        </w:rPr>
        <w:t>Technology Research</w:t>
      </w:r>
      <w:r>
        <w:t xml:space="preserve">, Gartner, Inc., 28 Mar. </w:t>
      </w:r>
    </w:p>
    <w:p w14:paraId="20E93D4B" w14:textId="77777777" w:rsidR="00836BBB" w:rsidRDefault="002528E0">
      <w:pPr>
        <w:ind w:firstLine="720"/>
        <w:contextualSpacing w:val="0"/>
      </w:pPr>
      <w:r>
        <w:t xml:space="preserve">2002, www.gartner.com/doc/354152/server-consolidation-benefits-challenges. </w:t>
      </w:r>
    </w:p>
    <w:p w14:paraId="2EE11AD9" w14:textId="77777777" w:rsidR="00836BBB" w:rsidRDefault="00836BBB">
      <w:pPr>
        <w:contextualSpacing w:val="0"/>
      </w:pPr>
    </w:p>
    <w:p w14:paraId="0CCFBDF1" w14:textId="77777777" w:rsidR="00836BBB" w:rsidRDefault="002528E0">
      <w:pPr>
        <w:contextualSpacing w:val="0"/>
      </w:pPr>
      <w:r>
        <w:t>“Ho</w:t>
      </w:r>
      <w:r>
        <w:t xml:space="preserve">w server consolidation can benefit your data center.” </w:t>
      </w:r>
      <w:r>
        <w:rPr>
          <w:i/>
        </w:rPr>
        <w:t>SearchServerVirtualization</w:t>
      </w:r>
      <w:r>
        <w:t xml:space="preserve">, </w:t>
      </w:r>
    </w:p>
    <w:p w14:paraId="18B6887E" w14:textId="77777777" w:rsidR="00836BBB" w:rsidRDefault="002528E0">
      <w:pPr>
        <w:ind w:firstLine="720"/>
        <w:contextualSpacing w:val="0"/>
        <w:rPr>
          <w:highlight w:val="white"/>
        </w:rPr>
      </w:pPr>
      <w:r>
        <w:t>searchservervirtualization.techtarget.com/tip/How-server-consolidation-can-benefit-your-data-ce</w:t>
      </w:r>
      <w:r>
        <w:rPr>
          <w:highlight w:val="white"/>
        </w:rPr>
        <w:t xml:space="preserve">nter. </w:t>
      </w:r>
    </w:p>
    <w:p w14:paraId="2D9EF742" w14:textId="77777777" w:rsidR="00836BBB" w:rsidRDefault="00836BBB">
      <w:pPr>
        <w:contextualSpacing w:val="0"/>
        <w:rPr>
          <w:highlight w:val="white"/>
        </w:rPr>
      </w:pPr>
    </w:p>
    <w:p w14:paraId="46805C45" w14:textId="77777777" w:rsidR="00836BBB" w:rsidRDefault="002528E0">
      <w:pPr>
        <w:contextualSpacing w:val="0"/>
        <w:rPr>
          <w:color w:val="333333"/>
          <w:highlight w:val="white"/>
        </w:rPr>
      </w:pPr>
      <w:r>
        <w:rPr>
          <w:color w:val="333333"/>
          <w:highlight w:val="white"/>
        </w:rPr>
        <w:t>“Virtualization Technology &amp; Virtual Machine Software: What Is Virtual</w:t>
      </w:r>
      <w:r>
        <w:rPr>
          <w:color w:val="333333"/>
          <w:highlight w:val="white"/>
        </w:rPr>
        <w:t xml:space="preserve">ization?” </w:t>
      </w:r>
      <w:r>
        <w:rPr>
          <w:i/>
          <w:color w:val="333333"/>
          <w:highlight w:val="white"/>
        </w:rPr>
        <w:t>VMWare</w:t>
      </w:r>
      <w:r>
        <w:rPr>
          <w:color w:val="333333"/>
          <w:highlight w:val="white"/>
        </w:rPr>
        <w:t xml:space="preserve">, 14 </w:t>
      </w:r>
    </w:p>
    <w:p w14:paraId="45608CDF" w14:textId="77777777" w:rsidR="00836BBB" w:rsidRDefault="002528E0">
      <w:pPr>
        <w:ind w:firstLine="720"/>
        <w:contextualSpacing w:val="0"/>
        <w:rPr>
          <w:highlight w:val="white"/>
        </w:rPr>
      </w:pPr>
      <w:r>
        <w:rPr>
          <w:color w:val="333333"/>
          <w:highlight w:val="white"/>
        </w:rPr>
        <w:t>Sept. 2018, www.vmware.com/solutions/virtualization.html.</w:t>
      </w:r>
    </w:p>
    <w:sectPr w:rsidR="00836BB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BB"/>
    <w:rsid w:val="002528E0"/>
    <w:rsid w:val="00316F81"/>
    <w:rsid w:val="0083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C2826E"/>
  <w15:docId w15:val="{785A0F60-C9E7-AE42-84C1-C6A0BDB6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Abosede Ibikunle</cp:lastModifiedBy>
  <cp:revision>2</cp:revision>
  <dcterms:created xsi:type="dcterms:W3CDTF">2018-10-11T13:36:00Z</dcterms:created>
  <dcterms:modified xsi:type="dcterms:W3CDTF">2018-10-11T13:36:00Z</dcterms:modified>
</cp:coreProperties>
</file>