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B8D1" w14:textId="77777777" w:rsidR="00F64D8F" w:rsidRDefault="00030910" w:rsidP="00030910">
      <w:pPr>
        <w:spacing w:line="480" w:lineRule="auto"/>
        <w:contextualSpacing/>
        <w:rPr>
          <w:rFonts w:ascii="Times" w:hAnsi="Times"/>
        </w:rPr>
      </w:pPr>
      <w:r>
        <w:rPr>
          <w:rFonts w:ascii="Times" w:hAnsi="Times"/>
        </w:rPr>
        <w:t>Anne McMaster</w:t>
      </w:r>
    </w:p>
    <w:p w14:paraId="5F640689" w14:textId="77777777" w:rsidR="00030910" w:rsidRDefault="00030910" w:rsidP="00030910">
      <w:pPr>
        <w:spacing w:line="480" w:lineRule="auto"/>
        <w:contextualSpacing/>
        <w:rPr>
          <w:rFonts w:ascii="Times" w:hAnsi="Times"/>
        </w:rPr>
      </w:pPr>
      <w:r>
        <w:rPr>
          <w:rFonts w:ascii="Times" w:hAnsi="Times"/>
        </w:rPr>
        <w:t>Professor Doyle</w:t>
      </w:r>
    </w:p>
    <w:p w14:paraId="1B5BA318" w14:textId="77777777" w:rsidR="00030910" w:rsidRDefault="00030910" w:rsidP="00030910">
      <w:pPr>
        <w:spacing w:line="480" w:lineRule="auto"/>
        <w:contextualSpacing/>
        <w:rPr>
          <w:rFonts w:ascii="Times" w:hAnsi="Times"/>
        </w:rPr>
      </w:pPr>
      <w:r>
        <w:rPr>
          <w:rFonts w:ascii="Times" w:hAnsi="Times"/>
        </w:rPr>
        <w:t>Flash Research Paper 2- Virtualization and Cloud Computing</w:t>
      </w:r>
    </w:p>
    <w:p w14:paraId="258C83B9" w14:textId="77777777" w:rsidR="00030910" w:rsidRDefault="00030910" w:rsidP="00030910">
      <w:pPr>
        <w:spacing w:line="480" w:lineRule="auto"/>
        <w:contextualSpacing/>
        <w:rPr>
          <w:rFonts w:ascii="Times" w:hAnsi="Times"/>
        </w:rPr>
      </w:pPr>
      <w:r>
        <w:rPr>
          <w:rFonts w:ascii="Times" w:hAnsi="Times"/>
        </w:rPr>
        <w:t>February 12, 2014</w:t>
      </w:r>
    </w:p>
    <w:p w14:paraId="1AA605EF" w14:textId="735B928A" w:rsidR="00030910" w:rsidRDefault="00030910" w:rsidP="00030910">
      <w:pPr>
        <w:spacing w:line="480" w:lineRule="auto"/>
        <w:contextualSpacing/>
        <w:rPr>
          <w:rFonts w:ascii="Times" w:hAnsi="Times"/>
        </w:rPr>
      </w:pPr>
      <w:r>
        <w:rPr>
          <w:rFonts w:ascii="Times" w:hAnsi="Times"/>
        </w:rPr>
        <w:tab/>
      </w:r>
      <w:r w:rsidR="0006070D">
        <w:rPr>
          <w:rFonts w:ascii="Times" w:hAnsi="Times"/>
        </w:rPr>
        <w:t>We currently have the opportunity to save 9.2 million dollars over the next three years by switching 80% of our servers to virtual</w:t>
      </w:r>
      <w:r w:rsidR="0053013A">
        <w:rPr>
          <w:rFonts w:ascii="Times" w:hAnsi="Times"/>
        </w:rPr>
        <w:t xml:space="preserve"> machines</w:t>
      </w:r>
      <w:r w:rsidR="0006070D">
        <w:rPr>
          <w:rFonts w:ascii="Times" w:hAnsi="Times"/>
        </w:rPr>
        <w:t>.</w:t>
      </w:r>
      <w:r w:rsidR="00A130B2">
        <w:rPr>
          <w:rFonts w:ascii="Times" w:hAnsi="Times"/>
        </w:rPr>
        <w:t xml:space="preserve"> By using virtual machines, </w:t>
      </w:r>
      <w:r w:rsidR="004D0CC9">
        <w:rPr>
          <w:rFonts w:ascii="Times" w:hAnsi="Times"/>
        </w:rPr>
        <w:t xml:space="preserve">our company will be able to better utilize our hardware while increasing workload productivity. </w:t>
      </w:r>
      <w:r w:rsidR="0006070D">
        <w:rPr>
          <w:rFonts w:ascii="Times" w:hAnsi="Times"/>
        </w:rPr>
        <w:t xml:space="preserve">Because </w:t>
      </w:r>
      <w:r w:rsidR="004F1EAB">
        <w:rPr>
          <w:rFonts w:ascii="Times" w:hAnsi="Times"/>
        </w:rPr>
        <w:t>we must replace our servers regardless</w:t>
      </w:r>
      <w:r w:rsidR="0006070D">
        <w:rPr>
          <w:rFonts w:ascii="Times" w:hAnsi="Times"/>
        </w:rPr>
        <w:t>, now is the prime opportunity to make this chang</w:t>
      </w:r>
      <w:r w:rsidR="0053013A">
        <w:rPr>
          <w:rFonts w:ascii="Times" w:hAnsi="Times"/>
        </w:rPr>
        <w:t>e, ultimately saving us millions</w:t>
      </w:r>
      <w:r w:rsidR="0006070D">
        <w:rPr>
          <w:rFonts w:ascii="Times" w:hAnsi="Times"/>
        </w:rPr>
        <w:t xml:space="preserve">. </w:t>
      </w:r>
    </w:p>
    <w:p w14:paraId="6E3E5E5D" w14:textId="78BF877F" w:rsidR="00A130B2" w:rsidRDefault="004D0CC9" w:rsidP="00D50337">
      <w:pPr>
        <w:spacing w:line="480" w:lineRule="auto"/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By switching 80% of our servers to virtual machines, our company will be able to better utilize hardware. Virtualization does this by allowing one virtual machine </w:t>
      </w:r>
      <w:r w:rsidR="004F1EAB">
        <w:rPr>
          <w:rFonts w:ascii="Times" w:hAnsi="Times"/>
        </w:rPr>
        <w:t>to host many different servers. I</w:t>
      </w:r>
      <w:r>
        <w:rPr>
          <w:rFonts w:ascii="Times" w:hAnsi="Times"/>
        </w:rPr>
        <w:t>n our company, one virtual machine will be able to host ten serve</w:t>
      </w:r>
      <w:r w:rsidR="004F1EAB">
        <w:rPr>
          <w:rFonts w:ascii="Times" w:hAnsi="Times"/>
        </w:rPr>
        <w:t>rs, giving us 80 consolidated virtual machines</w:t>
      </w:r>
      <w:r w:rsidR="0053013A">
        <w:rPr>
          <w:rFonts w:ascii="Times" w:hAnsi="Times"/>
        </w:rPr>
        <w:t xml:space="preserve">. </w:t>
      </w:r>
      <w:r w:rsidR="004F1EAB">
        <w:rPr>
          <w:rFonts w:ascii="Times" w:hAnsi="Times"/>
        </w:rPr>
        <w:t>Additionally</w:t>
      </w:r>
      <w:r>
        <w:rPr>
          <w:rFonts w:ascii="Times" w:hAnsi="Times"/>
        </w:rPr>
        <w:t xml:space="preserve">, this </w:t>
      </w:r>
      <w:r w:rsidR="004F1EAB">
        <w:rPr>
          <w:rFonts w:ascii="Times" w:hAnsi="Times"/>
        </w:rPr>
        <w:t xml:space="preserve">server consolidation </w:t>
      </w:r>
      <w:r>
        <w:rPr>
          <w:rFonts w:ascii="Times" w:hAnsi="Times"/>
        </w:rPr>
        <w:t xml:space="preserve">means that </w:t>
      </w:r>
      <w:r w:rsidR="0053013A">
        <w:rPr>
          <w:rFonts w:ascii="Times" w:hAnsi="Times"/>
        </w:rPr>
        <w:t xml:space="preserve">we will be able to work on operating systems </w:t>
      </w:r>
      <w:r>
        <w:rPr>
          <w:rFonts w:ascii="Times" w:hAnsi="Times"/>
        </w:rPr>
        <w:t xml:space="preserve">simultaneously using the virtual machine, </w:t>
      </w:r>
      <w:r w:rsidR="004F1EAB">
        <w:rPr>
          <w:rFonts w:ascii="Times" w:hAnsi="Times"/>
        </w:rPr>
        <w:t>allowing us to share data between servers, increasing</w:t>
      </w:r>
      <w:r>
        <w:rPr>
          <w:rFonts w:ascii="Times" w:hAnsi="Times"/>
        </w:rPr>
        <w:t xml:space="preserve"> our business productivity. </w:t>
      </w:r>
    </w:p>
    <w:p w14:paraId="69B70CFE" w14:textId="7B1B2E1E" w:rsidR="00D50337" w:rsidRDefault="005930DC" w:rsidP="00D50337">
      <w:pPr>
        <w:spacing w:line="480" w:lineRule="auto"/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It will cost </w:t>
      </w:r>
      <w:r w:rsidR="0053013A">
        <w:rPr>
          <w:rFonts w:ascii="Times" w:hAnsi="Times"/>
        </w:rPr>
        <w:t>4.8</w:t>
      </w:r>
      <w:r>
        <w:rPr>
          <w:rFonts w:ascii="Times" w:hAnsi="Times"/>
        </w:rPr>
        <w:t xml:space="preserve"> million</w:t>
      </w:r>
      <w:r w:rsidR="0053013A">
        <w:rPr>
          <w:rFonts w:ascii="Times" w:hAnsi="Times"/>
        </w:rPr>
        <w:t xml:space="preserve"> dollars</w:t>
      </w:r>
      <w:r>
        <w:rPr>
          <w:rFonts w:ascii="Times" w:hAnsi="Times"/>
        </w:rPr>
        <w:t xml:space="preserve"> to</w:t>
      </w:r>
      <w:r w:rsidR="0053013A">
        <w:rPr>
          <w:rFonts w:ascii="Times" w:hAnsi="Times"/>
        </w:rPr>
        <w:t xml:space="preserve"> implement the virtual machines, including maintenance</w:t>
      </w:r>
      <w:r w:rsidR="004F1EAB">
        <w:rPr>
          <w:rFonts w:ascii="Times" w:hAnsi="Times"/>
        </w:rPr>
        <w:t xml:space="preserve"> costs</w:t>
      </w:r>
      <w:r w:rsidR="0053013A">
        <w:rPr>
          <w:rFonts w:ascii="Times" w:hAnsi="Times"/>
        </w:rPr>
        <w:t xml:space="preserve">. </w:t>
      </w:r>
      <w:r>
        <w:rPr>
          <w:rFonts w:ascii="Times" w:hAnsi="Times"/>
        </w:rPr>
        <w:t xml:space="preserve">However, because we would be purchasing 80 virtual machines and 200 normal servers, </w:t>
      </w:r>
      <w:r w:rsidR="004F1EAB">
        <w:rPr>
          <w:rFonts w:ascii="Times" w:hAnsi="Times"/>
        </w:rPr>
        <w:t xml:space="preserve">we would have a </w:t>
      </w:r>
      <w:r w:rsidR="0053013A">
        <w:rPr>
          <w:rFonts w:ascii="Times" w:hAnsi="Times"/>
        </w:rPr>
        <w:t xml:space="preserve">14 million </w:t>
      </w:r>
      <w:r w:rsidR="004F1EAB">
        <w:rPr>
          <w:rFonts w:ascii="Times" w:hAnsi="Times"/>
        </w:rPr>
        <w:t xml:space="preserve">dollar benefit </w:t>
      </w:r>
      <w:r w:rsidR="0053013A">
        <w:rPr>
          <w:rFonts w:ascii="Times" w:hAnsi="Times"/>
        </w:rPr>
        <w:t>fro</w:t>
      </w:r>
      <w:r w:rsidR="004F1EAB">
        <w:rPr>
          <w:rFonts w:ascii="Times" w:hAnsi="Times"/>
        </w:rPr>
        <w:t xml:space="preserve">m the savings </w:t>
      </w:r>
      <w:bookmarkStart w:id="0" w:name="_GoBack"/>
      <w:bookmarkEnd w:id="0"/>
      <w:r w:rsidR="0053013A">
        <w:rPr>
          <w:rFonts w:ascii="Times" w:hAnsi="Times"/>
        </w:rPr>
        <w:t>from not implementing 1,000 new traditional servers.</w:t>
      </w:r>
      <w:r>
        <w:rPr>
          <w:rFonts w:ascii="Times" w:hAnsi="Times"/>
        </w:rPr>
        <w:t xml:space="preserve"> By utilizing virtualization, our company will ultimately receive a net benefit </w:t>
      </w:r>
      <w:r w:rsidR="0053013A">
        <w:rPr>
          <w:rFonts w:ascii="Times" w:hAnsi="Times"/>
        </w:rPr>
        <w:t xml:space="preserve">from savings </w:t>
      </w:r>
      <w:r>
        <w:rPr>
          <w:rFonts w:ascii="Times" w:hAnsi="Times"/>
        </w:rPr>
        <w:t>of 9.2 million dollars over the next three years.</w:t>
      </w:r>
    </w:p>
    <w:p w14:paraId="2E7A6C2D" w14:textId="77777777" w:rsidR="0053013A" w:rsidRDefault="0053013A" w:rsidP="00D50337">
      <w:pPr>
        <w:spacing w:line="480" w:lineRule="auto"/>
        <w:contextualSpacing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F33AF" w14:paraId="54FC9F7D" w14:textId="77777777" w:rsidTr="00DF33AF">
        <w:tc>
          <w:tcPr>
            <w:tcW w:w="1771" w:type="dxa"/>
          </w:tcPr>
          <w:p w14:paraId="2994D683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Traditional Servers</w:t>
            </w:r>
          </w:p>
        </w:tc>
        <w:tc>
          <w:tcPr>
            <w:tcW w:w="1771" w:type="dxa"/>
          </w:tcPr>
          <w:p w14:paraId="4DF6231A" w14:textId="77777777" w:rsidR="00DF33AF" w:rsidRDefault="00DF33AF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Year 1</w:t>
            </w:r>
          </w:p>
        </w:tc>
        <w:tc>
          <w:tcPr>
            <w:tcW w:w="1771" w:type="dxa"/>
          </w:tcPr>
          <w:p w14:paraId="76AD692B" w14:textId="77777777" w:rsidR="00DF33AF" w:rsidRDefault="00DF33AF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Year 2</w:t>
            </w:r>
          </w:p>
        </w:tc>
        <w:tc>
          <w:tcPr>
            <w:tcW w:w="1771" w:type="dxa"/>
          </w:tcPr>
          <w:p w14:paraId="75A896D2" w14:textId="77777777" w:rsidR="00DF33AF" w:rsidRDefault="00DF33AF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Year 3</w:t>
            </w:r>
          </w:p>
        </w:tc>
        <w:tc>
          <w:tcPr>
            <w:tcW w:w="1772" w:type="dxa"/>
          </w:tcPr>
          <w:p w14:paraId="5FAEEE66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DF33AF" w14:paraId="2170F524" w14:textId="77777777" w:rsidTr="00DF33AF">
        <w:tc>
          <w:tcPr>
            <w:tcW w:w="1771" w:type="dxa"/>
          </w:tcPr>
          <w:p w14:paraId="7A7F4F7B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Implementation</w:t>
            </w:r>
          </w:p>
        </w:tc>
        <w:tc>
          <w:tcPr>
            <w:tcW w:w="1771" w:type="dxa"/>
          </w:tcPr>
          <w:p w14:paraId="0119100F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1,000*8,000</w:t>
            </w:r>
          </w:p>
          <w:p w14:paraId="3989B1FE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=8,000,000</w:t>
            </w:r>
          </w:p>
        </w:tc>
        <w:tc>
          <w:tcPr>
            <w:tcW w:w="1771" w:type="dxa"/>
          </w:tcPr>
          <w:p w14:paraId="727E2CFF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771" w:type="dxa"/>
          </w:tcPr>
          <w:p w14:paraId="6D912221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772" w:type="dxa"/>
          </w:tcPr>
          <w:p w14:paraId="73D7309D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8,000,000</w:t>
            </w:r>
          </w:p>
        </w:tc>
      </w:tr>
      <w:tr w:rsidR="00DF33AF" w14:paraId="198EFBC9" w14:textId="77777777" w:rsidTr="00DF33AF">
        <w:tc>
          <w:tcPr>
            <w:tcW w:w="1771" w:type="dxa"/>
          </w:tcPr>
          <w:p w14:paraId="05793488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Maintenance</w:t>
            </w:r>
          </w:p>
        </w:tc>
        <w:tc>
          <w:tcPr>
            <w:tcW w:w="1771" w:type="dxa"/>
          </w:tcPr>
          <w:p w14:paraId="15E0FFB4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2,000,000</w:t>
            </w:r>
          </w:p>
        </w:tc>
        <w:tc>
          <w:tcPr>
            <w:tcW w:w="1771" w:type="dxa"/>
          </w:tcPr>
          <w:p w14:paraId="73BE5C00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2,000,000</w:t>
            </w:r>
          </w:p>
        </w:tc>
        <w:tc>
          <w:tcPr>
            <w:tcW w:w="1771" w:type="dxa"/>
          </w:tcPr>
          <w:p w14:paraId="68DC745E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2,000,000</w:t>
            </w:r>
          </w:p>
        </w:tc>
        <w:tc>
          <w:tcPr>
            <w:tcW w:w="1772" w:type="dxa"/>
          </w:tcPr>
          <w:p w14:paraId="6C692A77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6,000,000</w:t>
            </w:r>
          </w:p>
        </w:tc>
      </w:tr>
      <w:tr w:rsidR="00DF33AF" w14:paraId="36650EE8" w14:textId="77777777" w:rsidTr="00DF33AF">
        <w:tc>
          <w:tcPr>
            <w:tcW w:w="1771" w:type="dxa"/>
          </w:tcPr>
          <w:p w14:paraId="1D5E1EDF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Totals</w:t>
            </w:r>
          </w:p>
        </w:tc>
        <w:tc>
          <w:tcPr>
            <w:tcW w:w="1771" w:type="dxa"/>
          </w:tcPr>
          <w:p w14:paraId="3ED3041D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10,000,000</w:t>
            </w:r>
          </w:p>
        </w:tc>
        <w:tc>
          <w:tcPr>
            <w:tcW w:w="1771" w:type="dxa"/>
          </w:tcPr>
          <w:p w14:paraId="4051A1BB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2,000,000</w:t>
            </w:r>
          </w:p>
        </w:tc>
        <w:tc>
          <w:tcPr>
            <w:tcW w:w="1771" w:type="dxa"/>
          </w:tcPr>
          <w:p w14:paraId="16B64A91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2,000,000</w:t>
            </w:r>
          </w:p>
        </w:tc>
        <w:tc>
          <w:tcPr>
            <w:tcW w:w="1772" w:type="dxa"/>
          </w:tcPr>
          <w:p w14:paraId="6A576907" w14:textId="77777777" w:rsidR="00DF33AF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14,000,000</w:t>
            </w:r>
          </w:p>
        </w:tc>
      </w:tr>
    </w:tbl>
    <w:p w14:paraId="5DF99A32" w14:textId="77777777" w:rsidR="005930DC" w:rsidRDefault="005930DC" w:rsidP="00030910">
      <w:pPr>
        <w:spacing w:line="480" w:lineRule="auto"/>
        <w:contextualSpacing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50337" w14:paraId="062AED9E" w14:textId="77777777" w:rsidTr="00D50337">
        <w:tc>
          <w:tcPr>
            <w:tcW w:w="1771" w:type="dxa"/>
          </w:tcPr>
          <w:p w14:paraId="4B9D47AE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80 VMware and 200 Traditional</w:t>
            </w:r>
          </w:p>
        </w:tc>
        <w:tc>
          <w:tcPr>
            <w:tcW w:w="1771" w:type="dxa"/>
          </w:tcPr>
          <w:p w14:paraId="6BD3BE0B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Year 1</w:t>
            </w:r>
          </w:p>
        </w:tc>
        <w:tc>
          <w:tcPr>
            <w:tcW w:w="1771" w:type="dxa"/>
          </w:tcPr>
          <w:p w14:paraId="352E920D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Year 2</w:t>
            </w:r>
          </w:p>
        </w:tc>
        <w:tc>
          <w:tcPr>
            <w:tcW w:w="1771" w:type="dxa"/>
          </w:tcPr>
          <w:p w14:paraId="56A5BF7C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Year 3</w:t>
            </w:r>
          </w:p>
        </w:tc>
        <w:tc>
          <w:tcPr>
            <w:tcW w:w="1772" w:type="dxa"/>
          </w:tcPr>
          <w:p w14:paraId="2FAFCBD1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D50337" w14:paraId="11ABBB42" w14:textId="77777777" w:rsidTr="00D50337">
        <w:tc>
          <w:tcPr>
            <w:tcW w:w="1771" w:type="dxa"/>
          </w:tcPr>
          <w:p w14:paraId="37EA6DF6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80 VM implementation </w:t>
            </w:r>
          </w:p>
        </w:tc>
        <w:tc>
          <w:tcPr>
            <w:tcW w:w="1771" w:type="dxa"/>
          </w:tcPr>
          <w:p w14:paraId="37894C9C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80*16,000= 1,280,000</w:t>
            </w:r>
          </w:p>
        </w:tc>
        <w:tc>
          <w:tcPr>
            <w:tcW w:w="1771" w:type="dxa"/>
          </w:tcPr>
          <w:p w14:paraId="294CD923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771" w:type="dxa"/>
          </w:tcPr>
          <w:p w14:paraId="0432CCBD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772" w:type="dxa"/>
          </w:tcPr>
          <w:p w14:paraId="2BE52AE7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1,280,000</w:t>
            </w:r>
          </w:p>
        </w:tc>
      </w:tr>
      <w:tr w:rsidR="00D50337" w14:paraId="23EECF6F" w14:textId="77777777" w:rsidTr="00D50337">
        <w:tc>
          <w:tcPr>
            <w:tcW w:w="1771" w:type="dxa"/>
          </w:tcPr>
          <w:p w14:paraId="043B9691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200 Traditional</w:t>
            </w:r>
          </w:p>
        </w:tc>
        <w:tc>
          <w:tcPr>
            <w:tcW w:w="1771" w:type="dxa"/>
          </w:tcPr>
          <w:p w14:paraId="7D0BE601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200*8,000= 1,600,000</w:t>
            </w:r>
          </w:p>
        </w:tc>
        <w:tc>
          <w:tcPr>
            <w:tcW w:w="1771" w:type="dxa"/>
          </w:tcPr>
          <w:p w14:paraId="4C83B072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771" w:type="dxa"/>
          </w:tcPr>
          <w:p w14:paraId="7314D775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772" w:type="dxa"/>
          </w:tcPr>
          <w:p w14:paraId="019A9FBD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1,600,000</w:t>
            </w:r>
          </w:p>
        </w:tc>
      </w:tr>
      <w:tr w:rsidR="00D50337" w14:paraId="39DD17D6" w14:textId="77777777" w:rsidTr="00D50337">
        <w:tc>
          <w:tcPr>
            <w:tcW w:w="1771" w:type="dxa"/>
          </w:tcPr>
          <w:p w14:paraId="1B988A87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VM maintenance</w:t>
            </w:r>
          </w:p>
        </w:tc>
        <w:tc>
          <w:tcPr>
            <w:tcW w:w="1771" w:type="dxa"/>
          </w:tcPr>
          <w:p w14:paraId="46071AAC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240,000</w:t>
            </w:r>
          </w:p>
        </w:tc>
        <w:tc>
          <w:tcPr>
            <w:tcW w:w="1771" w:type="dxa"/>
          </w:tcPr>
          <w:p w14:paraId="19970E78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240,000</w:t>
            </w:r>
          </w:p>
        </w:tc>
        <w:tc>
          <w:tcPr>
            <w:tcW w:w="1771" w:type="dxa"/>
          </w:tcPr>
          <w:p w14:paraId="5312C272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240,000</w:t>
            </w:r>
          </w:p>
        </w:tc>
        <w:tc>
          <w:tcPr>
            <w:tcW w:w="1772" w:type="dxa"/>
          </w:tcPr>
          <w:p w14:paraId="11BA79BE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720,000</w:t>
            </w:r>
          </w:p>
        </w:tc>
      </w:tr>
      <w:tr w:rsidR="00D50337" w14:paraId="4DF4E3DC" w14:textId="77777777" w:rsidTr="00D50337">
        <w:tc>
          <w:tcPr>
            <w:tcW w:w="1771" w:type="dxa"/>
          </w:tcPr>
          <w:p w14:paraId="71E82DDA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Traditional maintenance</w:t>
            </w:r>
          </w:p>
        </w:tc>
        <w:tc>
          <w:tcPr>
            <w:tcW w:w="1771" w:type="dxa"/>
          </w:tcPr>
          <w:p w14:paraId="7333FE7A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400,000</w:t>
            </w:r>
          </w:p>
        </w:tc>
        <w:tc>
          <w:tcPr>
            <w:tcW w:w="1771" w:type="dxa"/>
          </w:tcPr>
          <w:p w14:paraId="2CB678F2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400,000</w:t>
            </w:r>
          </w:p>
        </w:tc>
        <w:tc>
          <w:tcPr>
            <w:tcW w:w="1771" w:type="dxa"/>
          </w:tcPr>
          <w:p w14:paraId="6F4AA1AB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400,000</w:t>
            </w:r>
          </w:p>
        </w:tc>
        <w:tc>
          <w:tcPr>
            <w:tcW w:w="1772" w:type="dxa"/>
          </w:tcPr>
          <w:p w14:paraId="1D292172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1,200,000</w:t>
            </w:r>
          </w:p>
        </w:tc>
      </w:tr>
      <w:tr w:rsidR="00D50337" w14:paraId="7963D94A" w14:textId="77777777" w:rsidTr="00D50337">
        <w:tc>
          <w:tcPr>
            <w:tcW w:w="1771" w:type="dxa"/>
          </w:tcPr>
          <w:p w14:paraId="46D659C5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Totals</w:t>
            </w:r>
          </w:p>
        </w:tc>
        <w:tc>
          <w:tcPr>
            <w:tcW w:w="1771" w:type="dxa"/>
          </w:tcPr>
          <w:p w14:paraId="283EB528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3,520,000</w:t>
            </w:r>
          </w:p>
        </w:tc>
        <w:tc>
          <w:tcPr>
            <w:tcW w:w="1771" w:type="dxa"/>
          </w:tcPr>
          <w:p w14:paraId="08B88A2A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640,000</w:t>
            </w:r>
          </w:p>
        </w:tc>
        <w:tc>
          <w:tcPr>
            <w:tcW w:w="1771" w:type="dxa"/>
          </w:tcPr>
          <w:p w14:paraId="2A991D70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640,000</w:t>
            </w:r>
          </w:p>
        </w:tc>
        <w:tc>
          <w:tcPr>
            <w:tcW w:w="1772" w:type="dxa"/>
          </w:tcPr>
          <w:p w14:paraId="4F0B23A9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4,800,000</w:t>
            </w:r>
          </w:p>
        </w:tc>
      </w:tr>
    </w:tbl>
    <w:p w14:paraId="0693F65B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50337" w14:paraId="53928E6A" w14:textId="77777777" w:rsidTr="00D50337">
        <w:tc>
          <w:tcPr>
            <w:tcW w:w="1771" w:type="dxa"/>
          </w:tcPr>
          <w:p w14:paraId="755EA7F2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Benefits</w:t>
            </w:r>
          </w:p>
        </w:tc>
        <w:tc>
          <w:tcPr>
            <w:tcW w:w="1771" w:type="dxa"/>
          </w:tcPr>
          <w:p w14:paraId="4B5DD32B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6,480,000</w:t>
            </w:r>
          </w:p>
        </w:tc>
        <w:tc>
          <w:tcPr>
            <w:tcW w:w="1771" w:type="dxa"/>
          </w:tcPr>
          <w:p w14:paraId="697AF3F5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1,360,000</w:t>
            </w:r>
          </w:p>
        </w:tc>
        <w:tc>
          <w:tcPr>
            <w:tcW w:w="1771" w:type="dxa"/>
          </w:tcPr>
          <w:p w14:paraId="2CEDE7F4" w14:textId="77777777" w:rsid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1,360,000</w:t>
            </w:r>
          </w:p>
        </w:tc>
        <w:tc>
          <w:tcPr>
            <w:tcW w:w="1772" w:type="dxa"/>
          </w:tcPr>
          <w:p w14:paraId="3DE84F56" w14:textId="77777777" w:rsidR="00D50337" w:rsidRDefault="00D50337" w:rsidP="00D50337">
            <w:pPr>
              <w:contextualSpacing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Net Benefit:</w:t>
            </w:r>
          </w:p>
          <w:p w14:paraId="14386BF7" w14:textId="77777777" w:rsidR="00D50337" w:rsidRPr="00D50337" w:rsidRDefault="00D50337" w:rsidP="00D50337">
            <w:pPr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9,200,000</w:t>
            </w:r>
          </w:p>
        </w:tc>
      </w:tr>
    </w:tbl>
    <w:p w14:paraId="386E4E60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7AC198DB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7011FD8C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7D38C497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05DAC1E1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344C934E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78BBE482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5B3A52E0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678A3AC2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3CFD0715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52058BF7" w14:textId="77777777" w:rsidR="00D50337" w:rsidRDefault="00D50337" w:rsidP="00030910">
      <w:pPr>
        <w:spacing w:line="480" w:lineRule="auto"/>
        <w:contextualSpacing/>
        <w:rPr>
          <w:rFonts w:ascii="Times" w:hAnsi="Times"/>
        </w:rPr>
      </w:pPr>
    </w:p>
    <w:p w14:paraId="39D76CAE" w14:textId="77777777" w:rsidR="00D50337" w:rsidRDefault="00D50337" w:rsidP="00D50337">
      <w:pPr>
        <w:spacing w:line="480" w:lineRule="auto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References </w:t>
      </w:r>
    </w:p>
    <w:p w14:paraId="187122E9" w14:textId="77777777" w:rsidR="00125723" w:rsidRPr="00125723" w:rsidRDefault="00125723" w:rsidP="00125723">
      <w:pPr>
        <w:spacing w:line="480" w:lineRule="auto"/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Bigelow, Stephen. “How Server Consolidation Can Benefit Your Data Center.” </w:t>
      </w:r>
      <w:r>
        <w:rPr>
          <w:rFonts w:ascii="Times" w:hAnsi="Times"/>
          <w:i/>
        </w:rPr>
        <w:t>Tech Target.</w:t>
      </w:r>
      <w:r>
        <w:rPr>
          <w:rFonts w:ascii="Times" w:hAnsi="Times"/>
        </w:rPr>
        <w:t xml:space="preserve"> Web. 11 Feb 2015. </w:t>
      </w:r>
    </w:p>
    <w:p w14:paraId="4754F400" w14:textId="77777777" w:rsidR="00D50337" w:rsidRDefault="00125723" w:rsidP="00125723">
      <w:pPr>
        <w:spacing w:line="480" w:lineRule="auto"/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Chao, </w:t>
      </w:r>
      <w:proofErr w:type="spellStart"/>
      <w:r>
        <w:rPr>
          <w:rFonts w:ascii="Times" w:hAnsi="Times"/>
        </w:rPr>
        <w:t>Wellie</w:t>
      </w:r>
      <w:proofErr w:type="spellEnd"/>
      <w:r>
        <w:rPr>
          <w:rFonts w:ascii="Times" w:hAnsi="Times"/>
        </w:rPr>
        <w:t xml:space="preserve">. “The Pros and Cons of Virtual Machines in the Datacenter.” </w:t>
      </w:r>
      <w:proofErr w:type="spellStart"/>
      <w:r>
        <w:rPr>
          <w:rFonts w:ascii="Times" w:hAnsi="Times"/>
          <w:i/>
        </w:rPr>
        <w:t>DevX</w:t>
      </w:r>
      <w:proofErr w:type="spellEnd"/>
      <w:r>
        <w:rPr>
          <w:rFonts w:ascii="Times" w:hAnsi="Times"/>
          <w:i/>
        </w:rPr>
        <w:t xml:space="preserve">. </w:t>
      </w:r>
      <w:r>
        <w:rPr>
          <w:rFonts w:ascii="Times" w:hAnsi="Times"/>
        </w:rPr>
        <w:t>Web. 11 Feb. 2015.</w:t>
      </w:r>
    </w:p>
    <w:p w14:paraId="2121760C" w14:textId="77777777" w:rsidR="00125723" w:rsidRPr="00125723" w:rsidRDefault="00125723" w:rsidP="00125723">
      <w:pPr>
        <w:spacing w:line="480" w:lineRule="auto"/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“Reduce IT Costs and Increase Control with Server Virtualization.” </w:t>
      </w:r>
      <w:proofErr w:type="spellStart"/>
      <w:r>
        <w:rPr>
          <w:rFonts w:ascii="Times" w:hAnsi="Times"/>
          <w:i/>
        </w:rPr>
        <w:t>VMWare</w:t>
      </w:r>
      <w:proofErr w:type="spellEnd"/>
      <w:r>
        <w:rPr>
          <w:rFonts w:ascii="Times" w:hAnsi="Times"/>
          <w:i/>
        </w:rPr>
        <w:t>.</w:t>
      </w:r>
      <w:r>
        <w:rPr>
          <w:rFonts w:ascii="Times" w:hAnsi="Times"/>
        </w:rPr>
        <w:t xml:space="preserve"> Web. 11 Feb. 2015.</w:t>
      </w:r>
    </w:p>
    <w:sectPr w:rsidR="00125723" w:rsidRPr="00125723" w:rsidSect="0055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10"/>
    <w:rsid w:val="00030910"/>
    <w:rsid w:val="0006070D"/>
    <w:rsid w:val="00125723"/>
    <w:rsid w:val="004D0CC9"/>
    <w:rsid w:val="004F1EAB"/>
    <w:rsid w:val="0053013A"/>
    <w:rsid w:val="00557A24"/>
    <w:rsid w:val="005930DC"/>
    <w:rsid w:val="00A130B2"/>
    <w:rsid w:val="00D50337"/>
    <w:rsid w:val="00DF33AF"/>
    <w:rsid w:val="00F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61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355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McMaster</dc:creator>
  <cp:keywords/>
  <dc:description/>
  <cp:lastModifiedBy>Anne McMaster</cp:lastModifiedBy>
  <cp:revision>4</cp:revision>
  <dcterms:created xsi:type="dcterms:W3CDTF">2015-02-11T18:48:00Z</dcterms:created>
  <dcterms:modified xsi:type="dcterms:W3CDTF">2015-02-16T20:13:00Z</dcterms:modified>
</cp:coreProperties>
</file>