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76" w:rsidRDefault="00EE3F89" w:rsidP="00FB6976">
      <w:pPr>
        <w:tabs>
          <w:tab w:val="center" w:pos="4680"/>
        </w:tabs>
        <w:spacing w:after="0" w:line="240" w:lineRule="auto"/>
      </w:pPr>
      <w:bookmarkStart w:id="0" w:name="_GoBack"/>
      <w:bookmarkEnd w:id="0"/>
      <w:r>
        <w:t>Anthony Minford</w:t>
      </w:r>
    </w:p>
    <w:p w:rsidR="00EE3F89" w:rsidRPr="00527288" w:rsidRDefault="00EE3F89" w:rsidP="00FB6976">
      <w:pPr>
        <w:tabs>
          <w:tab w:val="center" w:pos="4680"/>
        </w:tabs>
        <w:spacing w:after="0" w:line="240" w:lineRule="auto"/>
      </w:pPr>
    </w:p>
    <w:p w:rsidR="00FB6976" w:rsidRDefault="00FB6976" w:rsidP="003748E7">
      <w:pPr>
        <w:tabs>
          <w:tab w:val="center" w:pos="4680"/>
        </w:tabs>
        <w:spacing w:after="0" w:line="360" w:lineRule="auto"/>
      </w:pPr>
      <w:r w:rsidRPr="00527288">
        <w:t xml:space="preserve">We have an opportunity to </w:t>
      </w:r>
      <w:r w:rsidR="00527288" w:rsidRPr="00527288">
        <w:t xml:space="preserve">save </w:t>
      </w:r>
      <w:r w:rsidR="00782D82" w:rsidRPr="00782D82">
        <w:t>$13,218,400</w:t>
      </w:r>
      <w:r w:rsidR="00782D82">
        <w:t xml:space="preserve"> </w:t>
      </w:r>
      <w:r w:rsidR="00527288">
        <w:t>over the next three years by invest</w:t>
      </w:r>
      <w:r w:rsidR="00333252">
        <w:t>ing</w:t>
      </w:r>
      <w:r w:rsidR="00AA16A8">
        <w:t xml:space="preserve"> in a Tier III data center.  </w:t>
      </w:r>
      <w:r w:rsidR="00535C96">
        <w:t xml:space="preserve">The Tier I data center currently in place </w:t>
      </w:r>
      <w:r w:rsidR="00333252">
        <w:t>is largely inefficient</w:t>
      </w:r>
      <w:r w:rsidR="00535C96">
        <w:t>, garnering 30 hours of downtime a year.  During these hours of downtime the company cannot process orders, make products</w:t>
      </w:r>
      <w:r w:rsidR="00AA087B">
        <w:t>,</w:t>
      </w:r>
      <w:r w:rsidR="00535C96">
        <w:t xml:space="preserve"> or ship products.</w:t>
      </w:r>
      <w:r w:rsidR="0052743F">
        <w:t xml:space="preserve">  Investing in a</w:t>
      </w:r>
      <w:r w:rsidR="00333252">
        <w:t xml:space="preserve"> </w:t>
      </w:r>
      <w:r w:rsidR="0052743F">
        <w:t>T</w:t>
      </w:r>
      <w:r w:rsidR="00333252">
        <w:t>ier III data center will cut down on the number of outages due to an inadequate da</w:t>
      </w:r>
      <w:r w:rsidR="00535C96">
        <w:t xml:space="preserve">ta center and </w:t>
      </w:r>
      <w:r w:rsidR="004A111B">
        <w:t>significantly lower expenses.</w:t>
      </w:r>
    </w:p>
    <w:p w:rsidR="00535C96" w:rsidRDefault="00535C96" w:rsidP="00FB6976">
      <w:pPr>
        <w:tabs>
          <w:tab w:val="center" w:pos="4680"/>
        </w:tabs>
        <w:spacing w:after="0" w:line="240" w:lineRule="auto"/>
      </w:pPr>
    </w:p>
    <w:p w:rsidR="00535C96" w:rsidRDefault="006A3A65" w:rsidP="003748E7">
      <w:pPr>
        <w:tabs>
          <w:tab w:val="center" w:pos="4680"/>
        </w:tabs>
        <w:spacing w:after="0" w:line="360" w:lineRule="auto"/>
      </w:pPr>
      <w:r>
        <w:t xml:space="preserve">Data center tier classifications </w:t>
      </w:r>
      <w:r w:rsidR="00BD5CAD">
        <w:t>are representative of a data center’s projected performance</w:t>
      </w:r>
      <w:r>
        <w:t xml:space="preserve">.  A data center that is </w:t>
      </w:r>
      <w:r w:rsidR="0014606D">
        <w:t>tier III</w:t>
      </w:r>
      <w:r w:rsidR="00AA087B">
        <w:t xml:space="preserve"> will</w:t>
      </w:r>
      <w:r>
        <w:t xml:space="preserve"> prove to be more reliable and effective, due to redundant components and distribution paths which limit the severity and threat of downtime.  Specifically, </w:t>
      </w:r>
      <w:r w:rsidR="000968D4">
        <w:t>“</w:t>
      </w:r>
      <w:r w:rsidR="009B154C">
        <w:t>a</w:t>
      </w:r>
      <w:r w:rsidRPr="006A3A65">
        <w:t xml:space="preserve"> Tier III data center is concurrently maintainable, allowing for any planned maintenance activity of power and cooling systems to take place without disrupting the operation of computer hard</w:t>
      </w:r>
      <w:r w:rsidR="00782D82">
        <w:t>wa</w:t>
      </w:r>
      <w:r w:rsidR="000968D4">
        <w:t>re located in the data center”(</w:t>
      </w:r>
      <w:r w:rsidR="000968D4">
        <w:rPr>
          <w:rFonts w:eastAsia="Times New Roman"/>
          <w:color w:val="000000"/>
        </w:rPr>
        <w:t>“</w:t>
      </w:r>
      <w:r w:rsidR="000968D4" w:rsidRPr="00BC58A0">
        <w:rPr>
          <w:rFonts w:eastAsia="Times New Roman"/>
          <w:color w:val="000000"/>
        </w:rPr>
        <w:t>Tier Standards Overview</w:t>
      </w:r>
      <w:r w:rsidR="000968D4">
        <w:rPr>
          <w:rFonts w:eastAsia="Times New Roman"/>
          <w:color w:val="000000"/>
        </w:rPr>
        <w:t>”</w:t>
      </w:r>
      <w:r w:rsidR="000968D4">
        <w:t>)</w:t>
      </w:r>
      <w:r w:rsidR="00AA16A8">
        <w:t xml:space="preserve">.  It </w:t>
      </w:r>
      <w:r>
        <w:t xml:space="preserve">will be able to operate even if </w:t>
      </w:r>
      <w:r w:rsidR="000968D4">
        <w:t>“</w:t>
      </w:r>
      <w:r>
        <w:t>each and every capacity component and element in the d</w:t>
      </w:r>
      <w:r w:rsidR="000968D4">
        <w:t>istribution paths are removed” (</w:t>
      </w:r>
      <w:r w:rsidR="000968D4" w:rsidRPr="00BC58A0">
        <w:rPr>
          <w:rFonts w:eastAsia="Times New Roman"/>
          <w:color w:val="000000"/>
        </w:rPr>
        <w:t>"Data Center Site Infrast</w:t>
      </w:r>
      <w:r w:rsidR="000968D4">
        <w:rPr>
          <w:rFonts w:eastAsia="Times New Roman"/>
          <w:color w:val="000000"/>
        </w:rPr>
        <w:t>ructure Tier Standard: Topology</w:t>
      </w:r>
      <w:r w:rsidR="000968D4" w:rsidRPr="00BC58A0">
        <w:rPr>
          <w:rFonts w:eastAsia="Times New Roman"/>
          <w:color w:val="000000"/>
        </w:rPr>
        <w:t>"</w:t>
      </w:r>
      <w:r w:rsidR="000968D4">
        <w:t>)</w:t>
      </w:r>
      <w:r w:rsidR="00782D82">
        <w:t xml:space="preserve">.  The result is downtime of only 1.75 hours a year.  </w:t>
      </w:r>
      <w:r>
        <w:t>In contrast to this, a Tier I data</w:t>
      </w:r>
      <w:r w:rsidR="00782D82">
        <w:t xml:space="preserve"> center</w:t>
      </w:r>
      <w:r>
        <w:t xml:space="preserve"> </w:t>
      </w:r>
      <w:r w:rsidR="00782D82">
        <w:t xml:space="preserve">has basic signal </w:t>
      </w:r>
      <w:r w:rsidR="0014606D">
        <w:t xml:space="preserve">paths that are not redundant, </w:t>
      </w:r>
      <w:r w:rsidR="00782D82">
        <w:t>resulting in 28.25 more hours of downtime per year.</w:t>
      </w:r>
    </w:p>
    <w:p w:rsidR="00782D82" w:rsidRDefault="00782D82" w:rsidP="00FB6976">
      <w:pPr>
        <w:tabs>
          <w:tab w:val="center" w:pos="4680"/>
        </w:tabs>
        <w:spacing w:after="0" w:line="240" w:lineRule="auto"/>
      </w:pPr>
    </w:p>
    <w:p w:rsidR="00FB6976" w:rsidRDefault="00782D82" w:rsidP="003748E7">
      <w:pPr>
        <w:tabs>
          <w:tab w:val="center" w:pos="4680"/>
        </w:tabs>
        <w:spacing w:after="0" w:line="360" w:lineRule="auto"/>
      </w:pPr>
      <w:r>
        <w:t xml:space="preserve">Investing </w:t>
      </w:r>
      <w:r w:rsidR="00AA16A8">
        <w:t xml:space="preserve">$35,000,000 </w:t>
      </w:r>
      <w:r>
        <w:t>in a Tier III data center will yield a 37.8% ROI in a three year period.  The a</w:t>
      </w:r>
      <w:r w:rsidR="00635F0C">
        <w:t>verage cost of downtime per minute is</w:t>
      </w:r>
      <w:r>
        <w:t xml:space="preserve"> </w:t>
      </w:r>
      <w:r w:rsidR="00635F0C">
        <w:t xml:space="preserve">$14,800.  At this rate, the Tier I data center currently in place costs the </w:t>
      </w:r>
      <w:r w:rsidR="00635F0C" w:rsidRPr="00635F0C">
        <w:t>company $25,663,200 a year.</w:t>
      </w:r>
      <w:r w:rsidR="00635F0C">
        <w:t xml:space="preserve"> On the contrary, a Tier III data center will cost the company </w:t>
      </w:r>
      <w:r w:rsidR="00635F0C" w:rsidRPr="00635F0C">
        <w:t>$1,554,000</w:t>
      </w:r>
      <w:r w:rsidR="00C83A00">
        <w:t xml:space="preserve"> a ye</w:t>
      </w:r>
      <w:r w:rsidR="00E943EB">
        <w:t>ar</w:t>
      </w:r>
      <w:r w:rsidR="003073CD">
        <w:t xml:space="preserve">, saving the company </w:t>
      </w:r>
      <w:r w:rsidR="003073CD" w:rsidRPr="003073CD">
        <w:t>$24,109,200</w:t>
      </w:r>
      <w:r w:rsidR="003073CD">
        <w:t xml:space="preserve"> annually</w:t>
      </w:r>
      <w:r w:rsidR="00E943EB">
        <w:t xml:space="preserve">.  This equates to </w:t>
      </w:r>
      <w:r w:rsidR="003073CD">
        <w:t>a net gain</w:t>
      </w:r>
      <w:r w:rsidR="00E943EB">
        <w:t xml:space="preserve"> of </w:t>
      </w:r>
      <w:r w:rsidR="00511D9C">
        <w:t>$</w:t>
      </w:r>
      <w:r w:rsidR="00635F0C">
        <w:t>13,218,400 over the next three years.</w:t>
      </w:r>
    </w:p>
    <w:p w:rsidR="00FB6976" w:rsidRDefault="00FB6976" w:rsidP="00FB6976">
      <w:pPr>
        <w:tabs>
          <w:tab w:val="center" w:pos="4680"/>
        </w:tabs>
        <w:spacing w:after="0" w:line="240" w:lineRule="auto"/>
      </w:pPr>
    </w:p>
    <w:p w:rsidR="00FB6976" w:rsidRDefault="00FB6976" w:rsidP="00FB6976">
      <w:pPr>
        <w:tabs>
          <w:tab w:val="center" w:pos="4680"/>
        </w:tabs>
        <w:spacing w:after="0" w:line="240" w:lineRule="auto"/>
      </w:pPr>
    </w:p>
    <w:p w:rsidR="00FB6976" w:rsidRDefault="00FB6976" w:rsidP="00FB6976">
      <w:pPr>
        <w:tabs>
          <w:tab w:val="center" w:pos="4680"/>
        </w:tabs>
        <w:spacing w:after="0" w:line="240" w:lineRule="auto"/>
      </w:pPr>
    </w:p>
    <w:p w:rsidR="00FB6976" w:rsidRDefault="00FB6976" w:rsidP="00FB6976">
      <w:pPr>
        <w:tabs>
          <w:tab w:val="center" w:pos="4680"/>
        </w:tabs>
        <w:spacing w:after="0" w:line="240" w:lineRule="auto"/>
      </w:pPr>
    </w:p>
    <w:p w:rsidR="00FB6976" w:rsidRDefault="00FB6976" w:rsidP="00FB6976">
      <w:pPr>
        <w:tabs>
          <w:tab w:val="center" w:pos="4680"/>
        </w:tabs>
        <w:spacing w:after="0" w:line="240" w:lineRule="auto"/>
      </w:pPr>
    </w:p>
    <w:p w:rsidR="000968D4" w:rsidRDefault="000968D4" w:rsidP="00FB6976">
      <w:pPr>
        <w:tabs>
          <w:tab w:val="center" w:pos="4680"/>
        </w:tabs>
        <w:spacing w:after="0" w:line="240" w:lineRule="auto"/>
        <w:rPr>
          <w:u w:val="single"/>
        </w:rPr>
      </w:pPr>
    </w:p>
    <w:p w:rsidR="000968D4" w:rsidRDefault="000968D4" w:rsidP="00FB6976">
      <w:pPr>
        <w:tabs>
          <w:tab w:val="center" w:pos="4680"/>
        </w:tabs>
        <w:spacing w:after="0" w:line="240" w:lineRule="auto"/>
        <w:rPr>
          <w:u w:val="single"/>
        </w:rPr>
      </w:pPr>
    </w:p>
    <w:p w:rsidR="000968D4" w:rsidRDefault="000968D4" w:rsidP="00FB6976">
      <w:pPr>
        <w:tabs>
          <w:tab w:val="center" w:pos="4680"/>
        </w:tabs>
        <w:spacing w:after="0" w:line="240" w:lineRule="auto"/>
        <w:rPr>
          <w:u w:val="single"/>
        </w:rPr>
      </w:pPr>
    </w:p>
    <w:p w:rsidR="000968D4" w:rsidRDefault="000968D4" w:rsidP="00FB6976">
      <w:pPr>
        <w:tabs>
          <w:tab w:val="center" w:pos="4680"/>
        </w:tabs>
        <w:spacing w:after="0" w:line="240" w:lineRule="auto"/>
        <w:rPr>
          <w:u w:val="single"/>
        </w:rPr>
      </w:pPr>
    </w:p>
    <w:p w:rsidR="000968D4" w:rsidRDefault="000968D4" w:rsidP="00FB6976">
      <w:pPr>
        <w:tabs>
          <w:tab w:val="center" w:pos="4680"/>
        </w:tabs>
        <w:spacing w:after="0" w:line="240" w:lineRule="auto"/>
        <w:rPr>
          <w:u w:val="single"/>
        </w:rPr>
      </w:pPr>
    </w:p>
    <w:p w:rsidR="000968D4" w:rsidRDefault="000968D4" w:rsidP="00FB6976">
      <w:pPr>
        <w:tabs>
          <w:tab w:val="center" w:pos="4680"/>
        </w:tabs>
        <w:spacing w:after="0" w:line="240" w:lineRule="auto"/>
        <w:rPr>
          <w:u w:val="single"/>
        </w:rPr>
      </w:pPr>
    </w:p>
    <w:p w:rsidR="000968D4" w:rsidRDefault="000968D4" w:rsidP="00FB6976">
      <w:pPr>
        <w:tabs>
          <w:tab w:val="center" w:pos="4680"/>
        </w:tabs>
        <w:spacing w:after="0" w:line="240" w:lineRule="auto"/>
        <w:rPr>
          <w:u w:val="single"/>
        </w:rPr>
      </w:pPr>
    </w:p>
    <w:p w:rsidR="00FB6976" w:rsidRPr="0070492C" w:rsidRDefault="00FB6976" w:rsidP="00FB6976">
      <w:pPr>
        <w:tabs>
          <w:tab w:val="center" w:pos="4680"/>
        </w:tabs>
        <w:spacing w:after="0" w:line="240" w:lineRule="auto"/>
      </w:pPr>
      <w:r w:rsidRPr="00FB6976">
        <w:rPr>
          <w:u w:val="single"/>
        </w:rPr>
        <w:lastRenderedPageBreak/>
        <w:t xml:space="preserve">Tier I Data Center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191"/>
        <w:gridCol w:w="3289"/>
        <w:gridCol w:w="3600"/>
      </w:tblGrid>
      <w:tr w:rsidR="007F6052" w:rsidTr="007F6052">
        <w:tc>
          <w:tcPr>
            <w:tcW w:w="1478" w:type="dxa"/>
          </w:tcPr>
          <w:p w:rsidR="007F6052" w:rsidRPr="00935F08" w:rsidRDefault="007F6052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Unavailability</w:t>
            </w:r>
            <w:r w:rsidRPr="00935F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7F6052" w:rsidRPr="00935F08" w:rsidRDefault="007F6052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935F08">
              <w:rPr>
                <w:b/>
                <w:sz w:val="20"/>
                <w:szCs w:val="20"/>
              </w:rPr>
              <w:t>Minutes Per Year</w:t>
            </w:r>
          </w:p>
        </w:tc>
        <w:tc>
          <w:tcPr>
            <w:tcW w:w="3289" w:type="dxa"/>
          </w:tcPr>
          <w:p w:rsidR="007F6052" w:rsidRPr="00935F08" w:rsidRDefault="007F6052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935F08">
              <w:rPr>
                <w:b/>
                <w:sz w:val="20"/>
                <w:szCs w:val="20"/>
              </w:rPr>
              <w:t>Downtime Per Year (Unavailability x Minutes Per Year)</w:t>
            </w:r>
          </w:p>
        </w:tc>
        <w:tc>
          <w:tcPr>
            <w:tcW w:w="3600" w:type="dxa"/>
          </w:tcPr>
          <w:p w:rsidR="007F6052" w:rsidRDefault="007F6052" w:rsidP="007D14D7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of Downtime Per Year</w:t>
            </w:r>
          </w:p>
          <w:p w:rsidR="007F6052" w:rsidRPr="00935F08" w:rsidRDefault="007F6052" w:rsidP="007D14D7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(Downtime Per Year x $14,800)</w:t>
            </w:r>
          </w:p>
        </w:tc>
      </w:tr>
      <w:tr w:rsidR="007F6052" w:rsidTr="007F6052">
        <w:tc>
          <w:tcPr>
            <w:tcW w:w="1478" w:type="dxa"/>
          </w:tcPr>
          <w:p w:rsidR="007F6052" w:rsidRPr="00935F08" w:rsidRDefault="007F6052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  <w:r w:rsidRPr="00935F08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</w:tcPr>
          <w:p w:rsidR="007F6052" w:rsidRPr="00935F08" w:rsidRDefault="007F6052">
            <w:pPr>
              <w:tabs>
                <w:tab w:val="center" w:pos="4680"/>
              </w:tabs>
              <w:rPr>
                <w:sz w:val="20"/>
                <w:szCs w:val="20"/>
              </w:rPr>
            </w:pPr>
            <w:r w:rsidRPr="00935F08">
              <w:rPr>
                <w:sz w:val="20"/>
                <w:szCs w:val="20"/>
              </w:rPr>
              <w:t>525,600</w:t>
            </w:r>
          </w:p>
        </w:tc>
        <w:tc>
          <w:tcPr>
            <w:tcW w:w="3289" w:type="dxa"/>
          </w:tcPr>
          <w:p w:rsidR="007F6052" w:rsidRPr="00935F08" w:rsidRDefault="007F6052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1,734</w:t>
            </w:r>
          </w:p>
        </w:tc>
        <w:tc>
          <w:tcPr>
            <w:tcW w:w="3600" w:type="dxa"/>
          </w:tcPr>
          <w:p w:rsidR="007F6052" w:rsidRPr="00935F08" w:rsidRDefault="007F6052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$25,663,200</w:t>
            </w:r>
          </w:p>
        </w:tc>
      </w:tr>
    </w:tbl>
    <w:p w:rsidR="00FB6976" w:rsidRDefault="00FB6976">
      <w:pPr>
        <w:tabs>
          <w:tab w:val="center" w:pos="4680"/>
        </w:tabs>
        <w:spacing w:after="0" w:line="240" w:lineRule="auto"/>
      </w:pPr>
    </w:p>
    <w:p w:rsidR="00FB6976" w:rsidRPr="00FB6976" w:rsidRDefault="00FB6976">
      <w:pPr>
        <w:tabs>
          <w:tab w:val="center" w:pos="4680"/>
        </w:tabs>
        <w:spacing w:after="0" w:line="240" w:lineRule="auto"/>
        <w:rPr>
          <w:u w:val="single"/>
        </w:rPr>
      </w:pPr>
      <w:r w:rsidRPr="00FB6976">
        <w:rPr>
          <w:u w:val="single"/>
        </w:rPr>
        <w:t>Tier III Data Center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60"/>
        <w:gridCol w:w="1189"/>
        <w:gridCol w:w="3309"/>
        <w:gridCol w:w="3600"/>
      </w:tblGrid>
      <w:tr w:rsidR="00B909B5" w:rsidTr="007F6052">
        <w:trPr>
          <w:trHeight w:val="316"/>
        </w:trPr>
        <w:tc>
          <w:tcPr>
            <w:tcW w:w="1460" w:type="dxa"/>
          </w:tcPr>
          <w:p w:rsidR="00B909B5" w:rsidRPr="00935F08" w:rsidRDefault="00B909B5" w:rsidP="00935F08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Unavailability</w:t>
            </w:r>
          </w:p>
        </w:tc>
        <w:tc>
          <w:tcPr>
            <w:tcW w:w="1189" w:type="dxa"/>
          </w:tcPr>
          <w:p w:rsidR="00B909B5" w:rsidRPr="00935F08" w:rsidRDefault="00B909B5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935F08">
              <w:rPr>
                <w:b/>
                <w:sz w:val="20"/>
                <w:szCs w:val="20"/>
              </w:rPr>
              <w:t>Minutes Per Year</w:t>
            </w:r>
          </w:p>
        </w:tc>
        <w:tc>
          <w:tcPr>
            <w:tcW w:w="3309" w:type="dxa"/>
          </w:tcPr>
          <w:p w:rsidR="00B909B5" w:rsidRPr="00935F08" w:rsidRDefault="00B909B5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935F08">
              <w:rPr>
                <w:b/>
                <w:sz w:val="20"/>
                <w:szCs w:val="20"/>
              </w:rPr>
              <w:t>Downtime Per Year (Unavailability</w:t>
            </w:r>
            <w:r>
              <w:rPr>
                <w:b/>
                <w:sz w:val="20"/>
                <w:szCs w:val="20"/>
              </w:rPr>
              <w:t xml:space="preserve"> x </w:t>
            </w:r>
            <w:r w:rsidRPr="00935F08">
              <w:rPr>
                <w:b/>
                <w:sz w:val="20"/>
                <w:szCs w:val="20"/>
              </w:rPr>
              <w:t>Minutes Per Year)</w:t>
            </w:r>
          </w:p>
        </w:tc>
        <w:tc>
          <w:tcPr>
            <w:tcW w:w="3600" w:type="dxa"/>
          </w:tcPr>
          <w:p w:rsidR="00B909B5" w:rsidRDefault="00B909B5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of Downtime Per Year</w:t>
            </w:r>
          </w:p>
          <w:p w:rsidR="007F6052" w:rsidRPr="00935F08" w:rsidRDefault="007F6052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(Downtime Per Year x $14,800)</w:t>
            </w:r>
          </w:p>
        </w:tc>
      </w:tr>
      <w:tr w:rsidR="00B909B5" w:rsidTr="007F6052">
        <w:trPr>
          <w:trHeight w:val="281"/>
        </w:trPr>
        <w:tc>
          <w:tcPr>
            <w:tcW w:w="1460" w:type="dxa"/>
          </w:tcPr>
          <w:p w:rsidR="00B909B5" w:rsidRPr="00935F08" w:rsidRDefault="00B909B5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  <w:r w:rsidRPr="00935F08">
              <w:rPr>
                <w:sz w:val="20"/>
                <w:szCs w:val="20"/>
              </w:rPr>
              <w:t>%</w:t>
            </w:r>
          </w:p>
        </w:tc>
        <w:tc>
          <w:tcPr>
            <w:tcW w:w="1189" w:type="dxa"/>
          </w:tcPr>
          <w:p w:rsidR="00B909B5" w:rsidRPr="00935F08" w:rsidRDefault="00B909B5">
            <w:pPr>
              <w:tabs>
                <w:tab w:val="center" w:pos="4680"/>
              </w:tabs>
              <w:rPr>
                <w:sz w:val="20"/>
                <w:szCs w:val="20"/>
              </w:rPr>
            </w:pPr>
            <w:r w:rsidRPr="00935F08">
              <w:rPr>
                <w:sz w:val="20"/>
                <w:szCs w:val="20"/>
              </w:rPr>
              <w:t>525,600</w:t>
            </w:r>
          </w:p>
        </w:tc>
        <w:tc>
          <w:tcPr>
            <w:tcW w:w="3309" w:type="dxa"/>
          </w:tcPr>
          <w:p w:rsidR="00B909B5" w:rsidRPr="00935F08" w:rsidRDefault="00B909B5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00" w:type="dxa"/>
          </w:tcPr>
          <w:p w:rsidR="00B909B5" w:rsidRPr="00935F08" w:rsidRDefault="00B909B5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$1,554,000</w:t>
            </w:r>
          </w:p>
        </w:tc>
      </w:tr>
    </w:tbl>
    <w:p w:rsidR="00FB6976" w:rsidRDefault="00FB6976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:rsidR="00B909B5" w:rsidRDefault="00B909B5">
      <w:pPr>
        <w:tabs>
          <w:tab w:val="center" w:pos="4680"/>
        </w:tabs>
        <w:spacing w:after="0" w:line="240" w:lineRule="auto"/>
        <w:rPr>
          <w:u w:val="single"/>
        </w:rPr>
      </w:pPr>
      <w:r w:rsidRPr="00B909B5">
        <w:rPr>
          <w:u w:val="single"/>
        </w:rPr>
        <w:t>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383"/>
        <w:gridCol w:w="1216"/>
        <w:gridCol w:w="1216"/>
        <w:gridCol w:w="1216"/>
      </w:tblGrid>
      <w:tr w:rsidR="00D0732B" w:rsidRPr="007F6052" w:rsidTr="00782D82">
        <w:tc>
          <w:tcPr>
            <w:tcW w:w="1596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7F6052">
              <w:rPr>
                <w:b/>
                <w:sz w:val="20"/>
                <w:szCs w:val="20"/>
              </w:rPr>
              <w:t>Data Center</w:t>
            </w:r>
          </w:p>
        </w:tc>
        <w:tc>
          <w:tcPr>
            <w:tcW w:w="1383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7F6052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216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7F6052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216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7F6052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1216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7F6052">
              <w:rPr>
                <w:b/>
                <w:sz w:val="20"/>
                <w:szCs w:val="20"/>
              </w:rPr>
              <w:t>Total</w:t>
            </w:r>
          </w:p>
        </w:tc>
      </w:tr>
      <w:tr w:rsidR="00D0732B" w:rsidRPr="007F6052" w:rsidTr="00782D82">
        <w:tc>
          <w:tcPr>
            <w:tcW w:w="1596" w:type="dxa"/>
          </w:tcPr>
          <w:p w:rsidR="00D0732B" w:rsidRPr="007F6052" w:rsidRDefault="00527288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Tier </w:t>
            </w:r>
            <w:r w:rsidR="00D0732B" w:rsidRPr="007F6052">
              <w:rPr>
                <w:sz w:val="20"/>
                <w:szCs w:val="20"/>
              </w:rPr>
              <w:t>I</w:t>
            </w:r>
          </w:p>
        </w:tc>
        <w:tc>
          <w:tcPr>
            <w:tcW w:w="1383" w:type="dxa"/>
          </w:tcPr>
          <w:p w:rsidR="00D0732B" w:rsidRPr="007F6052" w:rsidRDefault="00527288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216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$25,663,200</w:t>
            </w:r>
          </w:p>
        </w:tc>
        <w:tc>
          <w:tcPr>
            <w:tcW w:w="1216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$25,663,200</w:t>
            </w:r>
          </w:p>
        </w:tc>
        <w:tc>
          <w:tcPr>
            <w:tcW w:w="1216" w:type="dxa"/>
          </w:tcPr>
          <w:p w:rsidR="00D0732B" w:rsidRPr="007F6052" w:rsidRDefault="00D0732B" w:rsidP="00527288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27288">
              <w:rPr>
                <w:sz w:val="20"/>
                <w:szCs w:val="20"/>
              </w:rPr>
              <w:t>51,326,400</w:t>
            </w:r>
          </w:p>
        </w:tc>
      </w:tr>
      <w:tr w:rsidR="00D0732B" w:rsidRPr="007F6052" w:rsidTr="00782D82">
        <w:tc>
          <w:tcPr>
            <w:tcW w:w="1596" w:type="dxa"/>
          </w:tcPr>
          <w:p w:rsidR="00D0732B" w:rsidRPr="007F6052" w:rsidRDefault="00527288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Tier </w:t>
            </w:r>
            <w:r w:rsidR="00D0732B" w:rsidRPr="007F6052">
              <w:rPr>
                <w:sz w:val="20"/>
                <w:szCs w:val="20"/>
              </w:rPr>
              <w:t>III</w:t>
            </w:r>
          </w:p>
        </w:tc>
        <w:tc>
          <w:tcPr>
            <w:tcW w:w="1383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7F6052">
              <w:rPr>
                <w:sz w:val="20"/>
                <w:szCs w:val="20"/>
              </w:rPr>
              <w:t>35,000,000</w:t>
            </w:r>
          </w:p>
        </w:tc>
        <w:tc>
          <w:tcPr>
            <w:tcW w:w="1216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$1,554,000</w:t>
            </w:r>
          </w:p>
        </w:tc>
        <w:tc>
          <w:tcPr>
            <w:tcW w:w="1216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$1,554,000</w:t>
            </w:r>
          </w:p>
        </w:tc>
        <w:tc>
          <w:tcPr>
            <w:tcW w:w="1216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$38,108,000</w:t>
            </w:r>
          </w:p>
        </w:tc>
      </w:tr>
      <w:tr w:rsidR="00D0732B" w:rsidRPr="007F6052" w:rsidTr="00782D82">
        <w:tc>
          <w:tcPr>
            <w:tcW w:w="1596" w:type="dxa"/>
          </w:tcPr>
          <w:p w:rsidR="00D0732B" w:rsidRPr="007F6052" w:rsidRDefault="00D0732B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</w:t>
            </w:r>
          </w:p>
        </w:tc>
        <w:tc>
          <w:tcPr>
            <w:tcW w:w="1383" w:type="dxa"/>
          </w:tcPr>
          <w:p w:rsidR="00D0732B" w:rsidRDefault="00782D82" w:rsidP="00527288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-$35,000,000</w:t>
            </w:r>
          </w:p>
        </w:tc>
        <w:tc>
          <w:tcPr>
            <w:tcW w:w="1216" w:type="dxa"/>
          </w:tcPr>
          <w:p w:rsidR="00D0732B" w:rsidRDefault="00D0732B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$24,109,200</w:t>
            </w:r>
          </w:p>
        </w:tc>
        <w:tc>
          <w:tcPr>
            <w:tcW w:w="1216" w:type="dxa"/>
          </w:tcPr>
          <w:p w:rsidR="00D0732B" w:rsidRDefault="00D0732B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$24,109,200</w:t>
            </w:r>
          </w:p>
        </w:tc>
        <w:tc>
          <w:tcPr>
            <w:tcW w:w="1216" w:type="dxa"/>
          </w:tcPr>
          <w:p w:rsidR="00D0732B" w:rsidRDefault="00782D82" w:rsidP="00782D82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$13,218,400</w:t>
            </w:r>
          </w:p>
        </w:tc>
      </w:tr>
      <w:tr w:rsidR="00527288" w:rsidRPr="007F6052" w:rsidTr="00782D82">
        <w:tc>
          <w:tcPr>
            <w:tcW w:w="1596" w:type="dxa"/>
          </w:tcPr>
          <w:p w:rsidR="00527288" w:rsidRDefault="00527288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</w:t>
            </w:r>
          </w:p>
        </w:tc>
        <w:tc>
          <w:tcPr>
            <w:tcW w:w="1383" w:type="dxa"/>
          </w:tcPr>
          <w:p w:rsidR="00527288" w:rsidRDefault="00527288" w:rsidP="00527288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27288" w:rsidRDefault="00527288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27288" w:rsidRDefault="00527288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27288" w:rsidRDefault="00782D82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27288">
              <w:rPr>
                <w:sz w:val="20"/>
                <w:szCs w:val="20"/>
              </w:rPr>
              <w:t>.8%</w:t>
            </w:r>
          </w:p>
        </w:tc>
      </w:tr>
    </w:tbl>
    <w:p w:rsidR="00D0732B" w:rsidRDefault="00D0732B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527288" w:rsidRDefault="00527288">
      <w:pPr>
        <w:tabs>
          <w:tab w:val="center" w:pos="4680"/>
        </w:tabs>
        <w:spacing w:after="0" w:line="240" w:lineRule="auto"/>
        <w:rPr>
          <w:u w:val="single"/>
        </w:rPr>
      </w:pPr>
    </w:p>
    <w:p w:rsidR="003748E7" w:rsidRDefault="003748E7">
      <w:pPr>
        <w:tabs>
          <w:tab w:val="center" w:pos="4680"/>
        </w:tabs>
        <w:spacing w:after="0" w:line="240" w:lineRule="auto"/>
        <w:rPr>
          <w:u w:val="single"/>
        </w:rPr>
      </w:pPr>
    </w:p>
    <w:p w:rsidR="00100D97" w:rsidRDefault="00100D97" w:rsidP="00143A9D">
      <w:pPr>
        <w:tabs>
          <w:tab w:val="center" w:pos="4680"/>
        </w:tabs>
        <w:spacing w:after="0" w:line="240" w:lineRule="auto"/>
      </w:pPr>
    </w:p>
    <w:p w:rsidR="001D4B60" w:rsidRDefault="001D4B60" w:rsidP="00143A9D">
      <w:pPr>
        <w:tabs>
          <w:tab w:val="center" w:pos="4680"/>
        </w:tabs>
        <w:spacing w:after="0" w:line="240" w:lineRule="auto"/>
      </w:pPr>
    </w:p>
    <w:p w:rsidR="001D4B60" w:rsidRDefault="001D4B60" w:rsidP="00143A9D">
      <w:pPr>
        <w:tabs>
          <w:tab w:val="center" w:pos="4680"/>
        </w:tabs>
        <w:spacing w:after="0" w:line="240" w:lineRule="auto"/>
      </w:pPr>
    </w:p>
    <w:p w:rsidR="001D4B60" w:rsidRDefault="001D4B60" w:rsidP="00143A9D">
      <w:pPr>
        <w:tabs>
          <w:tab w:val="center" w:pos="4680"/>
        </w:tabs>
        <w:spacing w:after="0" w:line="240" w:lineRule="auto"/>
      </w:pPr>
    </w:p>
    <w:p w:rsidR="001D4B60" w:rsidRDefault="001D4B60" w:rsidP="00143A9D">
      <w:pPr>
        <w:tabs>
          <w:tab w:val="center" w:pos="4680"/>
        </w:tabs>
        <w:spacing w:after="0" w:line="240" w:lineRule="auto"/>
      </w:pPr>
    </w:p>
    <w:p w:rsidR="001D4B60" w:rsidRDefault="001D4B60" w:rsidP="00143A9D">
      <w:pPr>
        <w:tabs>
          <w:tab w:val="center" w:pos="4680"/>
        </w:tabs>
        <w:spacing w:after="0" w:line="240" w:lineRule="auto"/>
      </w:pPr>
    </w:p>
    <w:p w:rsidR="001D4B60" w:rsidRDefault="001D4B60" w:rsidP="00143A9D">
      <w:pPr>
        <w:tabs>
          <w:tab w:val="center" w:pos="4680"/>
        </w:tabs>
        <w:spacing w:after="0" w:line="240" w:lineRule="auto"/>
      </w:pPr>
    </w:p>
    <w:p w:rsidR="001D4B60" w:rsidRDefault="001D4B60" w:rsidP="00143A9D">
      <w:pPr>
        <w:tabs>
          <w:tab w:val="center" w:pos="4680"/>
        </w:tabs>
        <w:spacing w:after="0" w:line="240" w:lineRule="auto"/>
      </w:pPr>
    </w:p>
    <w:p w:rsidR="000968D4" w:rsidRDefault="000968D4" w:rsidP="000968D4">
      <w:pPr>
        <w:tabs>
          <w:tab w:val="center" w:pos="4680"/>
        </w:tabs>
        <w:spacing w:after="0" w:line="240" w:lineRule="auto"/>
      </w:pPr>
    </w:p>
    <w:p w:rsidR="000968D4" w:rsidRDefault="000968D4" w:rsidP="000968D4">
      <w:pPr>
        <w:tabs>
          <w:tab w:val="center" w:pos="4680"/>
        </w:tabs>
        <w:spacing w:after="0" w:line="240" w:lineRule="auto"/>
      </w:pPr>
    </w:p>
    <w:p w:rsidR="00782D82" w:rsidRDefault="00527288" w:rsidP="00BC58A0">
      <w:pPr>
        <w:tabs>
          <w:tab w:val="center" w:pos="4680"/>
        </w:tabs>
        <w:spacing w:after="0" w:line="240" w:lineRule="auto"/>
        <w:jc w:val="center"/>
      </w:pPr>
      <w:r w:rsidRPr="00527288">
        <w:lastRenderedPageBreak/>
        <w:t>Works Cited</w:t>
      </w:r>
    </w:p>
    <w:p w:rsidR="000968D4" w:rsidRPr="00BC58A0" w:rsidRDefault="000968D4" w:rsidP="000968D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0968D4" w:rsidRDefault="000968D4" w:rsidP="000968D4">
      <w:pPr>
        <w:shd w:val="clear" w:color="auto" w:fill="FFFFFF"/>
        <w:spacing w:after="0" w:line="240" w:lineRule="auto"/>
        <w:ind w:hanging="605"/>
        <w:rPr>
          <w:rFonts w:eastAsia="Times New Roman"/>
          <w:color w:val="000000"/>
        </w:rPr>
      </w:pPr>
      <w:r w:rsidRPr="00BC58A0">
        <w:rPr>
          <w:rFonts w:eastAsia="Times New Roman"/>
          <w:color w:val="000000"/>
        </w:rPr>
        <w:t xml:space="preserve">"Data Center Site Infrastructure Tier Standard: Topology." (2009-2012): 1-7. Uptime Institute. </w:t>
      </w:r>
      <w:proofErr w:type="gramStart"/>
      <w:r w:rsidRPr="00BC58A0">
        <w:rPr>
          <w:rFonts w:eastAsia="Times New Roman"/>
          <w:color w:val="000000"/>
        </w:rPr>
        <w:t>Web.</w:t>
      </w:r>
      <w:proofErr w:type="gramEnd"/>
      <w:r w:rsidRPr="00BC58A0">
        <w:rPr>
          <w:rFonts w:eastAsia="Times New Roman"/>
          <w:color w:val="000000"/>
        </w:rPr>
        <w:t xml:space="preserve"> 8 Sept. 2014. &lt;http://community.mis.temple.edu/mis2501sec001f14/files/2014/08/Data-Center-Site-Infrastructure-Tier-Standar-Topology.pdf&gt;.</w:t>
      </w:r>
    </w:p>
    <w:p w:rsidR="00BC58A0" w:rsidRDefault="00BC58A0" w:rsidP="00BC58A0">
      <w:pPr>
        <w:tabs>
          <w:tab w:val="center" w:pos="4680"/>
        </w:tabs>
        <w:spacing w:after="0" w:line="240" w:lineRule="auto"/>
        <w:jc w:val="center"/>
      </w:pPr>
    </w:p>
    <w:p w:rsidR="00BC58A0" w:rsidRDefault="00BC58A0" w:rsidP="00BC58A0">
      <w:pPr>
        <w:shd w:val="clear" w:color="auto" w:fill="FFFFFF"/>
        <w:spacing w:after="0" w:line="240" w:lineRule="auto"/>
        <w:ind w:hanging="605"/>
        <w:rPr>
          <w:rFonts w:eastAsia="Times New Roman"/>
          <w:color w:val="000000"/>
        </w:rPr>
      </w:pPr>
      <w:r w:rsidRPr="00BC58A0">
        <w:rPr>
          <w:rFonts w:eastAsia="Times New Roman"/>
          <w:color w:val="000000"/>
        </w:rPr>
        <w:t xml:space="preserve">Rouse, Margaret. </w:t>
      </w:r>
      <w:proofErr w:type="gramStart"/>
      <w:r w:rsidRPr="00BC58A0">
        <w:rPr>
          <w:rFonts w:eastAsia="Times New Roman"/>
          <w:color w:val="000000"/>
        </w:rPr>
        <w:t>"Uptime Data Center Tier Standards."</w:t>
      </w:r>
      <w:proofErr w:type="gramEnd"/>
      <w:r w:rsidRPr="00BC58A0">
        <w:rPr>
          <w:rFonts w:eastAsia="Times New Roman"/>
          <w:color w:val="000000"/>
        </w:rPr>
        <w:t xml:space="preserve"> </w:t>
      </w:r>
      <w:proofErr w:type="gramStart"/>
      <w:r w:rsidRPr="00BC58A0">
        <w:rPr>
          <w:rFonts w:eastAsia="Times New Roman"/>
          <w:color w:val="000000"/>
        </w:rPr>
        <w:t xml:space="preserve">Search Data Center, </w:t>
      </w:r>
      <w:proofErr w:type="spellStart"/>
      <w:r w:rsidRPr="00BC58A0">
        <w:rPr>
          <w:rFonts w:eastAsia="Times New Roman"/>
          <w:color w:val="000000"/>
        </w:rPr>
        <w:t>n.d.</w:t>
      </w:r>
      <w:proofErr w:type="spellEnd"/>
      <w:r w:rsidRPr="00BC58A0">
        <w:rPr>
          <w:rFonts w:eastAsia="Times New Roman"/>
          <w:color w:val="000000"/>
        </w:rPr>
        <w:t xml:space="preserve"> Web.</w:t>
      </w:r>
      <w:proofErr w:type="gramEnd"/>
      <w:r w:rsidRPr="00BC58A0">
        <w:rPr>
          <w:rFonts w:eastAsia="Times New Roman"/>
          <w:color w:val="000000"/>
        </w:rPr>
        <w:t xml:space="preserve"> 08 Sept. 2014. &lt;http://searchdatacenter.techtarget.com/definition/Uptime-data-center-tier-standards&gt;.</w:t>
      </w:r>
    </w:p>
    <w:p w:rsidR="00BC58A0" w:rsidRPr="00BC58A0" w:rsidRDefault="00BC58A0" w:rsidP="00BC58A0">
      <w:pPr>
        <w:shd w:val="clear" w:color="auto" w:fill="FFFFFF"/>
        <w:spacing w:after="0" w:line="240" w:lineRule="auto"/>
        <w:ind w:hanging="605"/>
        <w:rPr>
          <w:rFonts w:eastAsia="Times New Roman"/>
          <w:color w:val="000000"/>
        </w:rPr>
      </w:pPr>
    </w:p>
    <w:p w:rsidR="00782D82" w:rsidRPr="000968D4" w:rsidRDefault="00BC58A0" w:rsidP="000968D4">
      <w:pPr>
        <w:shd w:val="clear" w:color="auto" w:fill="FFFFFF"/>
        <w:spacing w:after="0" w:line="240" w:lineRule="auto"/>
        <w:ind w:hanging="605"/>
        <w:rPr>
          <w:rFonts w:eastAsia="Times New Roman"/>
          <w:color w:val="000000"/>
        </w:rPr>
      </w:pPr>
      <w:proofErr w:type="gramStart"/>
      <w:r w:rsidRPr="00BC58A0">
        <w:rPr>
          <w:rFonts w:eastAsia="Times New Roman"/>
          <w:color w:val="000000"/>
        </w:rPr>
        <w:t>"Tier Standards Overview."</w:t>
      </w:r>
      <w:proofErr w:type="gramEnd"/>
      <w:r w:rsidRPr="00BC58A0">
        <w:rPr>
          <w:rFonts w:eastAsia="Times New Roman"/>
          <w:color w:val="000000"/>
        </w:rPr>
        <w:t> </w:t>
      </w:r>
      <w:proofErr w:type="gramStart"/>
      <w:r w:rsidRPr="00BC58A0">
        <w:rPr>
          <w:rFonts w:eastAsia="Times New Roman"/>
          <w:i/>
          <w:iCs/>
          <w:color w:val="000000"/>
        </w:rPr>
        <w:t>Colocation America</w:t>
      </w:r>
      <w:r w:rsidRPr="00BC58A0">
        <w:rPr>
          <w:rFonts w:eastAsia="Times New Roman"/>
          <w:color w:val="000000"/>
        </w:rPr>
        <w:t>.</w:t>
      </w:r>
      <w:proofErr w:type="gramEnd"/>
      <w:r w:rsidRPr="00BC58A0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BC58A0">
        <w:rPr>
          <w:rFonts w:eastAsia="Times New Roman"/>
          <w:color w:val="000000"/>
        </w:rPr>
        <w:t>N.p</w:t>
      </w:r>
      <w:proofErr w:type="spellEnd"/>
      <w:proofErr w:type="gramEnd"/>
      <w:r w:rsidRPr="00BC58A0">
        <w:rPr>
          <w:rFonts w:eastAsia="Times New Roman"/>
          <w:color w:val="000000"/>
        </w:rPr>
        <w:t xml:space="preserve">., </w:t>
      </w:r>
      <w:proofErr w:type="spellStart"/>
      <w:r w:rsidRPr="00BC58A0">
        <w:rPr>
          <w:rFonts w:eastAsia="Times New Roman"/>
          <w:color w:val="000000"/>
        </w:rPr>
        <w:t>n.d.</w:t>
      </w:r>
      <w:proofErr w:type="spellEnd"/>
      <w:r w:rsidRPr="00BC58A0">
        <w:rPr>
          <w:rFonts w:eastAsia="Times New Roman"/>
          <w:color w:val="000000"/>
        </w:rPr>
        <w:t xml:space="preserve"> Web. 07 Sept. 2014</w:t>
      </w:r>
      <w:proofErr w:type="gramStart"/>
      <w:r w:rsidRPr="00BC58A0">
        <w:rPr>
          <w:rFonts w:eastAsia="Times New Roman"/>
          <w:color w:val="000000"/>
        </w:rPr>
        <w:t>.</w:t>
      </w:r>
      <w:r w:rsidR="009B154C">
        <w:t>&lt;</w:t>
      </w:r>
      <w:proofErr w:type="gramEnd"/>
      <w:r w:rsidR="009B154C" w:rsidRPr="009B154C">
        <w:rPr>
          <w:rFonts w:eastAsia="Times New Roman"/>
          <w:color w:val="000000"/>
        </w:rPr>
        <w:t>http://www.colocationamerica.com/data-center/tier-standards-overview.htm</w:t>
      </w:r>
      <w:r w:rsidR="009B154C">
        <w:rPr>
          <w:rFonts w:eastAsia="Times New Roman"/>
          <w:color w:val="000000"/>
        </w:rPr>
        <w:t>&gt;.</w:t>
      </w:r>
    </w:p>
    <w:sectPr w:rsidR="00782D82" w:rsidRPr="0009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E3" w:rsidRDefault="003627E3" w:rsidP="00BC58A0">
      <w:pPr>
        <w:spacing w:after="0" w:line="240" w:lineRule="auto"/>
      </w:pPr>
      <w:r>
        <w:separator/>
      </w:r>
    </w:p>
  </w:endnote>
  <w:endnote w:type="continuationSeparator" w:id="0">
    <w:p w:rsidR="003627E3" w:rsidRDefault="003627E3" w:rsidP="00BC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E3" w:rsidRDefault="003627E3" w:rsidP="00BC58A0">
      <w:pPr>
        <w:spacing w:after="0" w:line="240" w:lineRule="auto"/>
      </w:pPr>
      <w:r>
        <w:separator/>
      </w:r>
    </w:p>
  </w:footnote>
  <w:footnote w:type="continuationSeparator" w:id="0">
    <w:p w:rsidR="003627E3" w:rsidRDefault="003627E3" w:rsidP="00BC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76"/>
    <w:rsid w:val="000968D4"/>
    <w:rsid w:val="00100D97"/>
    <w:rsid w:val="00143A9D"/>
    <w:rsid w:val="0014606D"/>
    <w:rsid w:val="001D4B60"/>
    <w:rsid w:val="0027210F"/>
    <w:rsid w:val="003073CD"/>
    <w:rsid w:val="00333252"/>
    <w:rsid w:val="003627E3"/>
    <w:rsid w:val="003748E7"/>
    <w:rsid w:val="004A111B"/>
    <w:rsid w:val="004B61FD"/>
    <w:rsid w:val="00511D9C"/>
    <w:rsid w:val="00527288"/>
    <w:rsid w:val="0052743F"/>
    <w:rsid w:val="00535C96"/>
    <w:rsid w:val="00635F0C"/>
    <w:rsid w:val="006A3A65"/>
    <w:rsid w:val="0070492C"/>
    <w:rsid w:val="00715D43"/>
    <w:rsid w:val="00782D82"/>
    <w:rsid w:val="007F6052"/>
    <w:rsid w:val="00842464"/>
    <w:rsid w:val="00914CC2"/>
    <w:rsid w:val="00935F08"/>
    <w:rsid w:val="0095625C"/>
    <w:rsid w:val="009B154C"/>
    <w:rsid w:val="009C21E2"/>
    <w:rsid w:val="009C47A2"/>
    <w:rsid w:val="00AA087B"/>
    <w:rsid w:val="00AA16A8"/>
    <w:rsid w:val="00B909B5"/>
    <w:rsid w:val="00BC58A0"/>
    <w:rsid w:val="00BD5CAD"/>
    <w:rsid w:val="00C60372"/>
    <w:rsid w:val="00C83A00"/>
    <w:rsid w:val="00D0732B"/>
    <w:rsid w:val="00D62FAB"/>
    <w:rsid w:val="00E3424B"/>
    <w:rsid w:val="00E90470"/>
    <w:rsid w:val="00E943EB"/>
    <w:rsid w:val="00EE3F89"/>
    <w:rsid w:val="00F82B72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D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8A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58A0"/>
  </w:style>
  <w:style w:type="paragraph" w:styleId="Header">
    <w:name w:val="header"/>
    <w:basedOn w:val="Normal"/>
    <w:link w:val="HeaderChar"/>
    <w:uiPriority w:val="99"/>
    <w:unhideWhenUsed/>
    <w:rsid w:val="00BC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A0"/>
  </w:style>
  <w:style w:type="paragraph" w:styleId="Footer">
    <w:name w:val="footer"/>
    <w:basedOn w:val="Normal"/>
    <w:link w:val="FooterChar"/>
    <w:uiPriority w:val="99"/>
    <w:unhideWhenUsed/>
    <w:rsid w:val="00BC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A0"/>
  </w:style>
  <w:style w:type="paragraph" w:styleId="BalloonText">
    <w:name w:val="Balloon Text"/>
    <w:basedOn w:val="Normal"/>
    <w:link w:val="BalloonTextChar"/>
    <w:uiPriority w:val="99"/>
    <w:semiHidden/>
    <w:unhideWhenUsed/>
    <w:rsid w:val="00AA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9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D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8A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58A0"/>
  </w:style>
  <w:style w:type="paragraph" w:styleId="Header">
    <w:name w:val="header"/>
    <w:basedOn w:val="Normal"/>
    <w:link w:val="HeaderChar"/>
    <w:uiPriority w:val="99"/>
    <w:unhideWhenUsed/>
    <w:rsid w:val="00BC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A0"/>
  </w:style>
  <w:style w:type="paragraph" w:styleId="Footer">
    <w:name w:val="footer"/>
    <w:basedOn w:val="Normal"/>
    <w:link w:val="FooterChar"/>
    <w:uiPriority w:val="99"/>
    <w:unhideWhenUsed/>
    <w:rsid w:val="00BC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A0"/>
  </w:style>
  <w:style w:type="paragraph" w:styleId="BalloonText">
    <w:name w:val="Balloon Text"/>
    <w:basedOn w:val="Normal"/>
    <w:link w:val="BalloonTextChar"/>
    <w:uiPriority w:val="99"/>
    <w:semiHidden/>
    <w:unhideWhenUsed/>
    <w:rsid w:val="00AA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1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5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74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2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Appendix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77</cp:revision>
  <cp:lastPrinted>2014-09-09T03:13:00Z</cp:lastPrinted>
  <dcterms:created xsi:type="dcterms:W3CDTF">2014-09-08T13:12:00Z</dcterms:created>
  <dcterms:modified xsi:type="dcterms:W3CDTF">2014-09-28T20:33:00Z</dcterms:modified>
</cp:coreProperties>
</file>