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B" w:rsidRPr="00F13C6B" w:rsidRDefault="00F13C6B" w:rsidP="00F13C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Anthony Wong</w:t>
      </w:r>
    </w:p>
    <w:p w:rsidR="00F13C6B" w:rsidRPr="00F13C6B" w:rsidRDefault="00F13C6B" w:rsidP="00F13C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Doyle</w:t>
      </w:r>
    </w:p>
    <w:p w:rsidR="00F13C6B" w:rsidRPr="00F13C6B" w:rsidRDefault="00F13C6B" w:rsidP="00F13C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 2501 - Enterprise IT Architecture </w:t>
      </w:r>
    </w:p>
    <w:p w:rsidR="00F13C6B" w:rsidRPr="00F13C6B" w:rsidRDefault="00F13C6B" w:rsidP="00F13C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February, 2017 </w:t>
      </w:r>
    </w:p>
    <w:p w:rsidR="00F13C6B" w:rsidRPr="00F13C6B" w:rsidRDefault="00F13C6B" w:rsidP="00F13C6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Virtualization and Cloud Computing </w:t>
      </w:r>
    </w:p>
    <w:p w:rsidR="00F13C6B" w:rsidRPr="00F13C6B" w:rsidRDefault="00F13C6B" w:rsidP="00F13C6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Over the next three years our com</w:t>
      </w:r>
      <w:r w:rsidR="00336A6A">
        <w:rPr>
          <w:rFonts w:ascii="Times New Roman" w:eastAsia="Times New Roman" w:hAnsi="Times New Roman" w:cs="Times New Roman"/>
          <w:color w:val="000000"/>
          <w:sz w:val="24"/>
          <w:szCs w:val="24"/>
        </w:rPr>
        <w:t>pany has the opportunity to have a net benefit of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$9.2 million by implementing virtual machine technology such as VMware.</w:t>
      </w:r>
      <w:r w:rsidR="008D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our curr</w:t>
      </w:r>
      <w:r w:rsidR="00EA1C2E">
        <w:rPr>
          <w:rFonts w:ascii="Times New Roman" w:eastAsia="Times New Roman" w:hAnsi="Times New Roman" w:cs="Times New Roman"/>
          <w:color w:val="000000"/>
          <w:sz w:val="24"/>
          <w:szCs w:val="24"/>
        </w:rPr>
        <w:t>ent system, we are spending $1.4</w:t>
      </w:r>
      <w:r w:rsidR="008D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million more on maintenance than needed. </w:t>
      </w:r>
      <w:r w:rsidR="00EA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Consolidating 80 percent of our 1,000 traditional servers will decrease the total amount of hardware in our datacenters, needing 80 traditional machines and 200 virtual machines. </w:t>
      </w:r>
    </w:p>
    <w:p w:rsidR="00F13C6B" w:rsidRPr="00F13C6B" w:rsidRDefault="00F13C6B" w:rsidP="00F13C6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key capability of virtualization is server </w:t>
      </w:r>
      <w:r w:rsidR="00F20330"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consolidation;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reduce</w:t>
      </w:r>
      <w:r w:rsidR="00F203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number of physical servers </w:t>
      </w:r>
      <w:r w:rsidR="0033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our datacenter 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80 percent. Virtualization will reduce the amount of physical hardware </w:t>
      </w:r>
      <w:r w:rsidR="00312153">
        <w:rPr>
          <w:rFonts w:ascii="Times New Roman" w:eastAsia="Times New Roman" w:hAnsi="Times New Roman" w:cs="Times New Roman"/>
          <w:color w:val="000000"/>
          <w:sz w:val="24"/>
          <w:szCs w:val="24"/>
        </w:rPr>
        <w:t>and eliminate the</w:t>
      </w:r>
      <w:r w:rsidR="00F2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A6A"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 cost</w:t>
      </w:r>
      <w:r w:rsidR="00F2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1000 physical machines to 200 physical machines.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A6A">
        <w:rPr>
          <w:rFonts w:ascii="Times New Roman" w:eastAsia="Times New Roman" w:hAnsi="Times New Roman" w:cs="Times New Roman"/>
          <w:color w:val="000000"/>
          <w:sz w:val="24"/>
          <w:szCs w:val="24"/>
        </w:rPr>
        <w:t>We can consolidate 10 ph</w:t>
      </w:r>
      <w:bookmarkStart w:id="0" w:name="_GoBack"/>
      <w:bookmarkEnd w:id="0"/>
      <w:r w:rsidR="00336A6A">
        <w:rPr>
          <w:rFonts w:ascii="Times New Roman" w:eastAsia="Times New Roman" w:hAnsi="Times New Roman" w:cs="Times New Roman"/>
          <w:color w:val="000000"/>
          <w:sz w:val="24"/>
          <w:szCs w:val="24"/>
        </w:rPr>
        <w:t>ysical servers and run multiple applications and operating systems on</w:t>
      </w:r>
      <w:r w:rsidR="00AC2DF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336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virtual server. </w:t>
      </w:r>
      <w:r w:rsidR="00AC2DF7">
        <w:rPr>
          <w:rFonts w:ascii="Times New Roman" w:eastAsia="Times New Roman" w:hAnsi="Times New Roman" w:cs="Times New Roman"/>
          <w:color w:val="000000"/>
          <w:sz w:val="24"/>
          <w:szCs w:val="24"/>
        </w:rPr>
        <w:t>We will</w:t>
      </w:r>
      <w:r w:rsidR="0094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save energy and resources by</w:t>
      </w:r>
      <w:r w:rsidR="00AC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reduce hardware, maintenance, power, and air conditioning costs </w:t>
      </w:r>
      <w:r w:rsidR="0094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less physical machines in our datacenters. </w:t>
      </w:r>
    </w:p>
    <w:p w:rsidR="00F13C6B" w:rsidRDefault="00F13C6B" w:rsidP="00F13C6B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Virtual machine technology will initially cost approximately $3.6 million but this implementation will save us a total of $14 million over the next three years</w:t>
      </w:r>
      <w:r w:rsidR="00EA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eliminating the costs of 1000 traditional servers and the maintenance for them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1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save $1.4 million a year on maintenance alone. The company’s three year net benefit is $9.2 million.</w:t>
      </w:r>
    </w:p>
    <w:p w:rsidR="00F13C6B" w:rsidRDefault="00F13C6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TableGrid"/>
        <w:tblW w:w="7406" w:type="dxa"/>
        <w:tblLook w:val="04A0" w:firstRow="1" w:lastRow="0" w:firstColumn="1" w:lastColumn="0" w:noHBand="0" w:noVBand="1"/>
      </w:tblPr>
      <w:tblGrid>
        <w:gridCol w:w="3078"/>
        <w:gridCol w:w="1159"/>
        <w:gridCol w:w="1005"/>
        <w:gridCol w:w="1005"/>
        <w:gridCol w:w="1159"/>
      </w:tblGrid>
      <w:tr w:rsidR="00F13C6B" w:rsidRPr="00F13C6B" w:rsidTr="00F13C6B">
        <w:trPr>
          <w:trHeight w:val="365"/>
        </w:trPr>
        <w:tc>
          <w:tcPr>
            <w:tcW w:w="3078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Cost 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Year 1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Year 2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Year 3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F13C6B" w:rsidRPr="00F13C6B" w:rsidTr="00F13C6B">
        <w:trPr>
          <w:trHeight w:val="365"/>
        </w:trPr>
        <w:tc>
          <w:tcPr>
            <w:tcW w:w="3078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80 Virtual Machines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1,280,000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1,280,000</w:t>
            </w:r>
          </w:p>
        </w:tc>
      </w:tr>
      <w:tr w:rsidR="00F13C6B" w:rsidRPr="00F13C6B" w:rsidTr="00F13C6B">
        <w:trPr>
          <w:trHeight w:val="365"/>
        </w:trPr>
        <w:tc>
          <w:tcPr>
            <w:tcW w:w="3078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200 Tradition Servers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1,600,000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1,600,000</w:t>
            </w:r>
          </w:p>
        </w:tc>
      </w:tr>
      <w:tr w:rsidR="00F13C6B" w:rsidRPr="00F13C6B" w:rsidTr="00F13C6B">
        <w:trPr>
          <w:trHeight w:val="365"/>
        </w:trPr>
        <w:tc>
          <w:tcPr>
            <w:tcW w:w="3078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Virtual Machine  maintenance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240,000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240,000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240,000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720,000</w:t>
            </w:r>
          </w:p>
        </w:tc>
      </w:tr>
      <w:tr w:rsidR="00F13C6B" w:rsidRPr="00F13C6B" w:rsidTr="00F13C6B">
        <w:trPr>
          <w:trHeight w:val="365"/>
        </w:trPr>
        <w:tc>
          <w:tcPr>
            <w:tcW w:w="3078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Traditional Maintenance 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400,000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400,000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400,000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1,200,000</w:t>
            </w:r>
          </w:p>
        </w:tc>
      </w:tr>
      <w:tr w:rsidR="00F13C6B" w:rsidRPr="00F13C6B" w:rsidTr="00F13C6B">
        <w:trPr>
          <w:trHeight w:val="365"/>
        </w:trPr>
        <w:tc>
          <w:tcPr>
            <w:tcW w:w="3078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Total Costs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3,520,000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640,000</w:t>
            </w:r>
          </w:p>
        </w:tc>
        <w:tc>
          <w:tcPr>
            <w:tcW w:w="1005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640,000</w:t>
            </w:r>
          </w:p>
        </w:tc>
        <w:tc>
          <w:tcPr>
            <w:tcW w:w="1159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4,800,000</w:t>
            </w:r>
          </w:p>
        </w:tc>
      </w:tr>
    </w:tbl>
    <w:p w:rsidR="00E4668D" w:rsidRDefault="00E4668D" w:rsidP="00F13C6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078" w:type="dxa"/>
        <w:tblLook w:val="04A0" w:firstRow="1" w:lastRow="0" w:firstColumn="1" w:lastColumn="0" w:noHBand="0" w:noVBand="1"/>
      </w:tblPr>
      <w:tblGrid>
        <w:gridCol w:w="2742"/>
        <w:gridCol w:w="1218"/>
        <w:gridCol w:w="1107"/>
        <w:gridCol w:w="1107"/>
        <w:gridCol w:w="1218"/>
      </w:tblGrid>
      <w:tr w:rsidR="00F13C6B" w:rsidRPr="00F13C6B" w:rsidTr="00F13C6B">
        <w:trPr>
          <w:trHeight w:val="292"/>
        </w:trPr>
        <w:tc>
          <w:tcPr>
            <w:tcW w:w="274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Benefit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Year 1 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Year 2 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Year 3 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13C6B" w:rsidRPr="00F13C6B" w:rsidTr="00F13C6B">
        <w:trPr>
          <w:trHeight w:val="583"/>
        </w:trPr>
        <w:tc>
          <w:tcPr>
            <w:tcW w:w="2742" w:type="dxa"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Elimination of 1000 Traditional Servers 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8,000,000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 -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8,000,000</w:t>
            </w:r>
          </w:p>
        </w:tc>
      </w:tr>
      <w:tr w:rsidR="00F13C6B" w:rsidRPr="00F13C6B" w:rsidTr="00F13C6B">
        <w:trPr>
          <w:trHeight w:val="292"/>
        </w:trPr>
        <w:tc>
          <w:tcPr>
            <w:tcW w:w="274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Maintenance 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2,000,000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2,000,000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2,000,000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6,000,000</w:t>
            </w:r>
          </w:p>
        </w:tc>
      </w:tr>
      <w:tr w:rsidR="00F13C6B" w:rsidRPr="00F13C6B" w:rsidTr="00F13C6B">
        <w:trPr>
          <w:trHeight w:val="292"/>
        </w:trPr>
        <w:tc>
          <w:tcPr>
            <w:tcW w:w="274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 xml:space="preserve">Total Benefits 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2,000,000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2,000,000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14,000,000</w:t>
            </w:r>
          </w:p>
        </w:tc>
      </w:tr>
      <w:tr w:rsidR="00F13C6B" w:rsidRPr="00F13C6B" w:rsidTr="00F13C6B">
        <w:trPr>
          <w:trHeight w:val="292"/>
        </w:trPr>
        <w:tc>
          <w:tcPr>
            <w:tcW w:w="274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3C6B" w:rsidRPr="00F13C6B" w:rsidTr="00F13C6B">
        <w:trPr>
          <w:trHeight w:val="292"/>
        </w:trPr>
        <w:tc>
          <w:tcPr>
            <w:tcW w:w="2742" w:type="dxa"/>
            <w:noWrap/>
            <w:hideMark/>
          </w:tcPr>
          <w:p w:rsidR="00F13C6B" w:rsidRPr="00F13C6B" w:rsidRDefault="00F13C6B" w:rsidP="00F13C6B">
            <w:pPr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Net Benefits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6,480,000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1,360,000</w:t>
            </w:r>
          </w:p>
        </w:tc>
        <w:tc>
          <w:tcPr>
            <w:tcW w:w="1032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1,360,000</w:t>
            </w:r>
          </w:p>
        </w:tc>
        <w:tc>
          <w:tcPr>
            <w:tcW w:w="1136" w:type="dxa"/>
            <w:noWrap/>
            <w:hideMark/>
          </w:tcPr>
          <w:p w:rsidR="00F13C6B" w:rsidRPr="00F13C6B" w:rsidRDefault="00F13C6B" w:rsidP="00F13C6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3C6B">
              <w:rPr>
                <w:rFonts w:ascii="Calibri" w:eastAsia="Times New Roman" w:hAnsi="Calibri" w:cs="Calibri"/>
                <w:color w:val="000000"/>
              </w:rPr>
              <w:t>9,200,000</w:t>
            </w:r>
          </w:p>
        </w:tc>
      </w:tr>
    </w:tbl>
    <w:p w:rsidR="00F13C6B" w:rsidRDefault="00F13C6B" w:rsidP="00F13C6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3C6B" w:rsidRDefault="00F1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C6B" w:rsidRPr="00F13C6B" w:rsidRDefault="00F13C6B" w:rsidP="00F13C6B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13C6B"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:rsidR="00F13C6B" w:rsidRPr="00F13C6B" w:rsidRDefault="00F13C6B" w:rsidP="00F13C6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Marshall, David. "Top 10 Benefits of Server Virtualization." </w:t>
      </w:r>
      <w:proofErr w:type="gramStart"/>
      <w:r w:rsidRPr="00F13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InfoWorld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InfoWorld, 02 Nov. 2011. </w:t>
      </w:r>
      <w:proofErr w:type="gramStart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Feb. 2017. </w:t>
      </w:r>
    </w:p>
    <w:p w:rsidR="00F13C6B" w:rsidRPr="00F13C6B" w:rsidRDefault="00F13C6B" w:rsidP="00F13C6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13C6B" w:rsidRPr="00F13C6B" w:rsidRDefault="00F13C6B" w:rsidP="00F13C6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"Virtualization Software: The Biggest Advantages." </w:t>
      </w:r>
      <w:proofErr w:type="spellStart"/>
      <w:proofErr w:type="gramStart"/>
      <w:r w:rsidRPr="00F13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Teoma</w:t>
      </w:r>
      <w:proofErr w:type="spellEnd"/>
      <w:r w:rsidRPr="00F13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Systems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16 Jan. 2017. </w:t>
      </w:r>
      <w:proofErr w:type="gramStart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Feb. 2017. </w:t>
      </w:r>
    </w:p>
    <w:p w:rsidR="00F13C6B" w:rsidRPr="00F13C6B" w:rsidRDefault="00F13C6B" w:rsidP="00F13C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C6B" w:rsidRPr="00F13C6B" w:rsidRDefault="00F13C6B" w:rsidP="00F13C6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"Virtualization Technology &amp; Virtual Machine Software."</w:t>
      </w:r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3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Virtualization Technology &amp; Virtual Machine Software</w:t>
      </w:r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24 Feb. 2017. </w:t>
      </w:r>
      <w:proofErr w:type="gramStart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F13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Feb. 2017. </w:t>
      </w:r>
    </w:p>
    <w:p w:rsidR="00F13C6B" w:rsidRPr="00F13C6B" w:rsidRDefault="00F13C6B" w:rsidP="00F1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C6B" w:rsidRPr="00F13C6B" w:rsidRDefault="00F13C6B" w:rsidP="00F13C6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13C6B" w:rsidRPr="00F1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6B"/>
    <w:rsid w:val="00312153"/>
    <w:rsid w:val="00336A6A"/>
    <w:rsid w:val="008D6F4E"/>
    <w:rsid w:val="00945ABC"/>
    <w:rsid w:val="00AC2DF7"/>
    <w:rsid w:val="00E4668D"/>
    <w:rsid w:val="00EA1C2E"/>
    <w:rsid w:val="00F13C6B"/>
    <w:rsid w:val="00F2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24BE-9F95-4E96-96A0-C45C3D41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4</cp:revision>
  <dcterms:created xsi:type="dcterms:W3CDTF">2017-02-28T05:39:00Z</dcterms:created>
  <dcterms:modified xsi:type="dcterms:W3CDTF">2017-03-02T14:22:00Z</dcterms:modified>
</cp:coreProperties>
</file>