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64" w:rsidRPr="00E764BD" w:rsidRDefault="00490A64" w:rsidP="00E764BD">
      <w:pPr>
        <w:spacing w:line="480" w:lineRule="auto"/>
      </w:pPr>
      <w:r w:rsidRPr="00D32704">
        <w:rPr>
          <w:rFonts w:ascii="Times" w:hAnsi="Times"/>
          <w:sz w:val="24"/>
          <w:szCs w:val="24"/>
        </w:rPr>
        <w:t>Caroline Lykhokon</w:t>
      </w:r>
    </w:p>
    <w:p w:rsidR="00490A64" w:rsidRPr="00D32704" w:rsidRDefault="00490A64" w:rsidP="00E764BD">
      <w:pPr>
        <w:spacing w:line="480" w:lineRule="auto"/>
        <w:rPr>
          <w:rFonts w:ascii="Times" w:hAnsi="Times" w:cs="Times New Roman"/>
          <w:sz w:val="24"/>
          <w:szCs w:val="24"/>
        </w:rPr>
      </w:pPr>
      <w:r w:rsidRPr="00D32704">
        <w:rPr>
          <w:rFonts w:ascii="Times" w:hAnsi="Times" w:cs="Times New Roman"/>
          <w:sz w:val="24"/>
          <w:szCs w:val="24"/>
        </w:rPr>
        <w:t>Virtualization and Cloud Computing</w:t>
      </w:r>
    </w:p>
    <w:p w:rsidR="00490A64" w:rsidRPr="00D32704" w:rsidRDefault="005E438A" w:rsidP="00E764BD">
      <w:pPr>
        <w:spacing w:line="480" w:lineRule="auto"/>
        <w:rPr>
          <w:rFonts w:ascii="Times" w:hAnsi="Times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2/28</w:t>
      </w:r>
      <w:r w:rsidR="00490A64" w:rsidRPr="00D32704">
        <w:rPr>
          <w:rFonts w:ascii="Times" w:hAnsi="Times" w:cs="Times New Roman"/>
          <w:sz w:val="24"/>
          <w:szCs w:val="24"/>
        </w:rPr>
        <w:t>/18</w:t>
      </w:r>
    </w:p>
    <w:p w:rsidR="00490A64" w:rsidRPr="00D32704" w:rsidRDefault="00490A64" w:rsidP="00E764BD">
      <w:pPr>
        <w:spacing w:line="480" w:lineRule="auto"/>
        <w:rPr>
          <w:rFonts w:ascii="Times" w:hAnsi="Times"/>
        </w:rPr>
      </w:pPr>
      <w:r w:rsidRPr="00D32704">
        <w:rPr>
          <w:rFonts w:ascii="Times" w:hAnsi="Times"/>
        </w:rPr>
        <w:t xml:space="preserve">    </w:t>
      </w:r>
    </w:p>
    <w:p w:rsidR="00935888" w:rsidRPr="00D32704" w:rsidRDefault="00490A64" w:rsidP="00D32704">
      <w:pPr>
        <w:spacing w:line="480" w:lineRule="auto"/>
        <w:rPr>
          <w:rFonts w:ascii="Times" w:hAnsi="Times"/>
        </w:rPr>
      </w:pPr>
      <w:r w:rsidRPr="00D32704">
        <w:rPr>
          <w:rFonts w:ascii="Times" w:hAnsi="Times"/>
        </w:rPr>
        <w:t xml:space="preserve">       </w:t>
      </w:r>
      <w:r w:rsidR="00C50842" w:rsidRPr="00D32704">
        <w:rPr>
          <w:rFonts w:ascii="Times" w:hAnsi="Times"/>
        </w:rPr>
        <w:t xml:space="preserve"> </w:t>
      </w:r>
      <w:r w:rsidR="004629ED">
        <w:rPr>
          <w:rFonts w:ascii="Times" w:hAnsi="Times"/>
        </w:rPr>
        <w:t>The company will generate a net benefit of</w:t>
      </w:r>
      <w:r w:rsidR="00935888" w:rsidRPr="00D32704">
        <w:rPr>
          <w:rFonts w:ascii="Times" w:hAnsi="Times"/>
        </w:rPr>
        <w:t xml:space="preserve"> $9,200,000 over a three-year period by investing in</w:t>
      </w:r>
      <w:r w:rsidR="00091058" w:rsidRPr="00D32704">
        <w:rPr>
          <w:rFonts w:ascii="Times" w:hAnsi="Times"/>
        </w:rPr>
        <w:t xml:space="preserve"> virtualization</w:t>
      </w:r>
      <w:r w:rsidR="00935888" w:rsidRPr="00D32704">
        <w:rPr>
          <w:rFonts w:ascii="Times" w:hAnsi="Times"/>
        </w:rPr>
        <w:t xml:space="preserve">. </w:t>
      </w:r>
      <w:r w:rsidR="006C4DB0" w:rsidRPr="00D32704">
        <w:rPr>
          <w:rFonts w:ascii="Times" w:hAnsi="Times"/>
        </w:rPr>
        <w:t xml:space="preserve">A virtual server imitates a physical server and enables you to run more than one independent computer system on a single physical computer system. In return, it takes up less space, saves money, and </w:t>
      </w:r>
      <w:r w:rsidR="006F1E99">
        <w:rPr>
          <w:rFonts w:ascii="Times" w:hAnsi="Times"/>
        </w:rPr>
        <w:t xml:space="preserve">is </w:t>
      </w:r>
      <w:r w:rsidR="006C4DB0" w:rsidRPr="00D32704">
        <w:rPr>
          <w:rFonts w:ascii="Times" w:hAnsi="Times"/>
        </w:rPr>
        <w:t>more efficient.</w:t>
      </w:r>
    </w:p>
    <w:p w:rsidR="00F617B6" w:rsidRDefault="006C4DB0" w:rsidP="00D32704">
      <w:pPr>
        <w:spacing w:line="480" w:lineRule="auto"/>
        <w:rPr>
          <w:rFonts w:ascii="Times" w:hAnsi="Times"/>
        </w:rPr>
      </w:pPr>
      <w:r w:rsidRPr="00D32704">
        <w:rPr>
          <w:rFonts w:ascii="Times" w:hAnsi="Times"/>
        </w:rPr>
        <w:t xml:space="preserve">      A virtual </w:t>
      </w:r>
      <w:r w:rsidR="00C50842" w:rsidRPr="00D32704">
        <w:rPr>
          <w:rFonts w:ascii="Times" w:hAnsi="Times"/>
        </w:rPr>
        <w:t xml:space="preserve">server </w:t>
      </w:r>
      <w:r w:rsidRPr="00D32704">
        <w:rPr>
          <w:rFonts w:ascii="Times" w:hAnsi="Times"/>
        </w:rPr>
        <w:t xml:space="preserve">represents a complete </w:t>
      </w:r>
      <w:r w:rsidR="00C50842" w:rsidRPr="00D32704">
        <w:rPr>
          <w:rFonts w:ascii="Times" w:hAnsi="Times"/>
        </w:rPr>
        <w:t xml:space="preserve">physical </w:t>
      </w:r>
      <w:r w:rsidR="006F1E99">
        <w:rPr>
          <w:rFonts w:ascii="Times" w:hAnsi="Times"/>
        </w:rPr>
        <w:t xml:space="preserve">system, with </w:t>
      </w:r>
      <w:r w:rsidRPr="00D32704">
        <w:rPr>
          <w:rFonts w:ascii="Times" w:hAnsi="Times"/>
        </w:rPr>
        <w:t>processors, memory</w:t>
      </w:r>
      <w:r w:rsidR="00D32704" w:rsidRPr="00D32704">
        <w:rPr>
          <w:rFonts w:ascii="Times" w:hAnsi="Times"/>
        </w:rPr>
        <w:t>, networking, and storage</w:t>
      </w:r>
      <w:r w:rsidR="006F1E99">
        <w:rPr>
          <w:rFonts w:ascii="Times" w:hAnsi="Times"/>
        </w:rPr>
        <w:t xml:space="preserve">, </w:t>
      </w:r>
      <w:r w:rsidR="00D32704" w:rsidRPr="00D32704">
        <w:rPr>
          <w:rFonts w:ascii="Times" w:hAnsi="Times"/>
        </w:rPr>
        <w:t xml:space="preserve">that acts the same as a physical.  </w:t>
      </w:r>
      <w:r w:rsidR="00091058" w:rsidRPr="00D32704">
        <w:rPr>
          <w:rFonts w:ascii="Times" w:hAnsi="Times"/>
        </w:rPr>
        <w:t>Server virtualization</w:t>
      </w:r>
      <w:r w:rsidR="002C5511" w:rsidRPr="00D32704">
        <w:rPr>
          <w:rFonts w:ascii="Times" w:hAnsi="Times"/>
        </w:rPr>
        <w:t xml:space="preserve"> will allow 10 physical servers to run on a </w:t>
      </w:r>
      <w:r w:rsidR="00091058" w:rsidRPr="00D32704">
        <w:rPr>
          <w:rFonts w:ascii="Times" w:hAnsi="Times"/>
        </w:rPr>
        <w:t>single virtual machine server through the use of VMware.</w:t>
      </w:r>
      <w:r w:rsidR="00D32704" w:rsidRPr="00D32704">
        <w:rPr>
          <w:rFonts w:ascii="Times" w:hAnsi="Times"/>
        </w:rPr>
        <w:t xml:space="preserve"> </w:t>
      </w:r>
      <w:r w:rsidR="006F1E99">
        <w:rPr>
          <w:rFonts w:ascii="Times" w:hAnsi="Times"/>
        </w:rPr>
        <w:t xml:space="preserve">Power is used more efficiently when one physical server is converted into multiple virtual servers because each server can run multiple operating systems and applications. </w:t>
      </w:r>
      <w:r w:rsidR="00783E6E">
        <w:rPr>
          <w:rFonts w:ascii="Times" w:hAnsi="Times"/>
        </w:rPr>
        <w:t>Utilization can increase from 15% to 80% by</w:t>
      </w:r>
      <w:r w:rsidR="00F617B6">
        <w:rPr>
          <w:rFonts w:ascii="Times" w:hAnsi="Times"/>
        </w:rPr>
        <w:t xml:space="preserve"> running multiple virtual servers on one physical server.</w:t>
      </w:r>
    </w:p>
    <w:p w:rsidR="004C0B57" w:rsidRPr="00D32704" w:rsidRDefault="000973B0" w:rsidP="00D32704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         </w:t>
      </w:r>
      <w:r>
        <w:rPr>
          <w:rFonts w:ascii="Times" w:hAnsi="Times"/>
        </w:rPr>
        <w:t xml:space="preserve">Investing in VMware will generate a cost avoidance benefit of $14,000,000, and additionally it will function more </w:t>
      </w:r>
      <w:r w:rsidRPr="00D32704">
        <w:rPr>
          <w:rFonts w:ascii="Times" w:hAnsi="Times"/>
        </w:rPr>
        <w:t xml:space="preserve">efficient. </w:t>
      </w:r>
      <w:r w:rsidR="004E0CDE" w:rsidRPr="00D32704">
        <w:rPr>
          <w:rFonts w:ascii="Times" w:hAnsi="Times"/>
        </w:rPr>
        <w:t xml:space="preserve"> </w:t>
      </w:r>
      <w:r w:rsidR="004C0B57" w:rsidRPr="00D32704">
        <w:rPr>
          <w:rFonts w:ascii="Times" w:hAnsi="Times"/>
        </w:rPr>
        <w:t>It will cost $4,800,000 over a three-year period for</w:t>
      </w:r>
      <w:r w:rsidR="00427238" w:rsidRPr="00D32704">
        <w:rPr>
          <w:rFonts w:ascii="Times" w:hAnsi="Times"/>
        </w:rPr>
        <w:t xml:space="preserve"> the</w:t>
      </w:r>
      <w:r w:rsidR="004C0B57" w:rsidRPr="00D32704">
        <w:rPr>
          <w:rFonts w:ascii="Times" w:hAnsi="Times"/>
        </w:rPr>
        <w:t xml:space="preserve"> installation of the new servers, hardware maintenance, </w:t>
      </w:r>
      <w:r w:rsidR="00427238" w:rsidRPr="00D32704">
        <w:rPr>
          <w:rFonts w:ascii="Times" w:hAnsi="Times"/>
        </w:rPr>
        <w:t>and software</w:t>
      </w:r>
      <w:r w:rsidR="004C0B57" w:rsidRPr="00D32704">
        <w:rPr>
          <w:rFonts w:ascii="Times" w:hAnsi="Times"/>
        </w:rPr>
        <w:t xml:space="preserve"> maintenance, technical support, power and cooling. </w:t>
      </w:r>
      <w:r w:rsidR="00427238" w:rsidRPr="00D32704">
        <w:rPr>
          <w:rFonts w:ascii="Times" w:hAnsi="Times"/>
        </w:rPr>
        <w:t xml:space="preserve">The </w:t>
      </w:r>
      <w:r w:rsidR="004C0B57" w:rsidRPr="00D32704">
        <w:rPr>
          <w:rFonts w:ascii="Times" w:hAnsi="Times"/>
        </w:rPr>
        <w:t xml:space="preserve">resulting net benefit </w:t>
      </w:r>
      <w:r w:rsidR="00427238" w:rsidRPr="00D32704">
        <w:rPr>
          <w:rFonts w:ascii="Times" w:hAnsi="Times"/>
        </w:rPr>
        <w:t xml:space="preserve">of introducing virtualization </w:t>
      </w:r>
      <w:r w:rsidR="004C0B57" w:rsidRPr="00D32704">
        <w:rPr>
          <w:rFonts w:ascii="Times" w:hAnsi="Times"/>
        </w:rPr>
        <w:t xml:space="preserve">will be $9,200,000. </w:t>
      </w:r>
    </w:p>
    <w:p w:rsidR="004E0CDE" w:rsidRDefault="004E0CDE"/>
    <w:p w:rsidR="00091058" w:rsidRDefault="00091058">
      <w:bookmarkStart w:id="0" w:name="_GoBack"/>
      <w:bookmarkEnd w:id="0"/>
    </w:p>
    <w:p w:rsidR="00091058" w:rsidRDefault="00091058"/>
    <w:p w:rsidR="00091058" w:rsidRDefault="00091058"/>
    <w:p w:rsidR="00B87FEF" w:rsidRDefault="00B87FEF"/>
    <w:p w:rsidR="00B87FEF" w:rsidRDefault="00B87FEF"/>
    <w:p w:rsidR="00B87FEF" w:rsidRDefault="00B87FEF"/>
    <w:p w:rsidR="00B87FEF" w:rsidRDefault="00B87FEF"/>
    <w:p w:rsidR="00B87FEF" w:rsidRDefault="00B87FEF"/>
    <w:p w:rsidR="00B87FEF" w:rsidRDefault="00B87FEF"/>
    <w:p w:rsidR="00B87FEF" w:rsidRDefault="00B87FEF"/>
    <w:p w:rsidR="00B87FEF" w:rsidRDefault="00B87FEF"/>
    <w:p w:rsidR="00B87FEF" w:rsidRDefault="00B87FEF"/>
    <w:p w:rsidR="00B87FEF" w:rsidRDefault="00B87FEF"/>
    <w:p w:rsidR="00B87FEF" w:rsidRDefault="00B87FEF"/>
    <w:p w:rsidR="00B87FEF" w:rsidRDefault="00B87FEF"/>
    <w:p w:rsidR="00B87FEF" w:rsidRDefault="00B87FEF"/>
    <w:p w:rsidR="00B87FEF" w:rsidRDefault="00B87F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140"/>
      </w:tblGrid>
      <w:tr w:rsidR="00490A64" w:rsidRPr="00490A64" w:rsidTr="00490A64">
        <w:trPr>
          <w:trHeight w:val="380"/>
        </w:trPr>
        <w:tc>
          <w:tcPr>
            <w:tcW w:w="3320" w:type="dxa"/>
            <w:noWrap/>
            <w:hideMark/>
          </w:tcPr>
          <w:p w:rsidR="00490A64" w:rsidRPr="00490A64" w:rsidRDefault="00E764BD">
            <w:pPr>
              <w:rPr>
                <w:b/>
                <w:bCs/>
              </w:rPr>
            </w:pPr>
            <w:r>
              <w:rPr>
                <w:b/>
                <w:bCs/>
              </w:rPr>
              <w:t>Cost Avoidance Benefits</w:t>
            </w:r>
          </w:p>
        </w:tc>
        <w:tc>
          <w:tcPr>
            <w:tcW w:w="3140" w:type="dxa"/>
            <w:noWrap/>
            <w:hideMark/>
          </w:tcPr>
          <w:p w:rsidR="00490A64" w:rsidRPr="00490A64" w:rsidRDefault="00490A64">
            <w:pPr>
              <w:rPr>
                <w:b/>
                <w:bCs/>
              </w:rPr>
            </w:pPr>
          </w:p>
        </w:tc>
      </w:tr>
      <w:tr w:rsidR="00490A64" w:rsidRPr="00490A64" w:rsidTr="00490A64">
        <w:trPr>
          <w:trHeight w:val="320"/>
        </w:trPr>
        <w:tc>
          <w:tcPr>
            <w:tcW w:w="3320" w:type="dxa"/>
            <w:noWrap/>
            <w:hideMark/>
          </w:tcPr>
          <w:p w:rsidR="00490A64" w:rsidRPr="00490A64" w:rsidRDefault="00490A64">
            <w:r w:rsidRPr="00490A64">
              <w:t>1000 Servers</w:t>
            </w:r>
          </w:p>
        </w:tc>
        <w:tc>
          <w:tcPr>
            <w:tcW w:w="3140" w:type="dxa"/>
            <w:noWrap/>
            <w:hideMark/>
          </w:tcPr>
          <w:p w:rsidR="00490A64" w:rsidRPr="00490A64" w:rsidRDefault="00490A64" w:rsidP="00490A64">
            <w:r w:rsidRPr="00490A64">
              <w:t xml:space="preserve">$8,000,000 </w:t>
            </w:r>
          </w:p>
        </w:tc>
      </w:tr>
      <w:tr w:rsidR="00490A64" w:rsidRPr="00490A64" w:rsidTr="00490A64">
        <w:trPr>
          <w:trHeight w:val="320"/>
        </w:trPr>
        <w:tc>
          <w:tcPr>
            <w:tcW w:w="3320" w:type="dxa"/>
            <w:noWrap/>
            <w:hideMark/>
          </w:tcPr>
          <w:p w:rsidR="00490A64" w:rsidRPr="00490A64" w:rsidRDefault="00490A64">
            <w:r w:rsidRPr="00490A64">
              <w:t>Maintenance</w:t>
            </w:r>
          </w:p>
        </w:tc>
        <w:tc>
          <w:tcPr>
            <w:tcW w:w="3140" w:type="dxa"/>
            <w:noWrap/>
            <w:hideMark/>
          </w:tcPr>
          <w:p w:rsidR="00490A64" w:rsidRPr="00490A64" w:rsidRDefault="00490A64" w:rsidP="00490A64">
            <w:r w:rsidRPr="00490A64">
              <w:t xml:space="preserve">$6,000,000 </w:t>
            </w:r>
          </w:p>
        </w:tc>
      </w:tr>
      <w:tr w:rsidR="00490A64" w:rsidRPr="00490A64" w:rsidTr="00490A64">
        <w:trPr>
          <w:trHeight w:val="380"/>
        </w:trPr>
        <w:tc>
          <w:tcPr>
            <w:tcW w:w="3320" w:type="dxa"/>
            <w:noWrap/>
            <w:hideMark/>
          </w:tcPr>
          <w:p w:rsidR="00490A64" w:rsidRPr="00490A64" w:rsidRDefault="00490A64">
            <w:pPr>
              <w:rPr>
                <w:b/>
                <w:bCs/>
              </w:rPr>
            </w:pPr>
            <w:r w:rsidRPr="00490A64">
              <w:rPr>
                <w:b/>
                <w:bCs/>
              </w:rPr>
              <w:t>Total:</w:t>
            </w:r>
          </w:p>
        </w:tc>
        <w:tc>
          <w:tcPr>
            <w:tcW w:w="3140" w:type="dxa"/>
            <w:noWrap/>
            <w:hideMark/>
          </w:tcPr>
          <w:p w:rsidR="00490A64" w:rsidRPr="00490A64" w:rsidRDefault="00490A64" w:rsidP="00490A64">
            <w:r w:rsidRPr="00490A64">
              <w:t xml:space="preserve">$14,000,000 </w:t>
            </w:r>
          </w:p>
        </w:tc>
      </w:tr>
    </w:tbl>
    <w:p w:rsidR="00091058" w:rsidRDefault="00091058"/>
    <w:p w:rsidR="00091058" w:rsidRDefault="000910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140"/>
      </w:tblGrid>
      <w:tr w:rsidR="00490A64" w:rsidRPr="00490A64" w:rsidTr="00490A64">
        <w:trPr>
          <w:trHeight w:val="380"/>
        </w:trPr>
        <w:tc>
          <w:tcPr>
            <w:tcW w:w="3320" w:type="dxa"/>
            <w:noWrap/>
            <w:hideMark/>
          </w:tcPr>
          <w:p w:rsidR="00490A64" w:rsidRPr="00490A64" w:rsidRDefault="00490A64">
            <w:pPr>
              <w:rPr>
                <w:b/>
                <w:bCs/>
              </w:rPr>
            </w:pPr>
            <w:r w:rsidRPr="00490A64">
              <w:rPr>
                <w:b/>
                <w:bCs/>
              </w:rPr>
              <w:t>New Costs</w:t>
            </w:r>
          </w:p>
        </w:tc>
        <w:tc>
          <w:tcPr>
            <w:tcW w:w="3140" w:type="dxa"/>
            <w:noWrap/>
            <w:hideMark/>
          </w:tcPr>
          <w:p w:rsidR="00490A64" w:rsidRPr="00490A64" w:rsidRDefault="00490A64">
            <w:pPr>
              <w:rPr>
                <w:b/>
                <w:bCs/>
              </w:rPr>
            </w:pPr>
          </w:p>
        </w:tc>
      </w:tr>
      <w:tr w:rsidR="00490A64" w:rsidRPr="00490A64" w:rsidTr="00490A64">
        <w:trPr>
          <w:trHeight w:val="320"/>
        </w:trPr>
        <w:tc>
          <w:tcPr>
            <w:tcW w:w="3320" w:type="dxa"/>
            <w:noWrap/>
            <w:hideMark/>
          </w:tcPr>
          <w:p w:rsidR="00490A64" w:rsidRPr="00490A64" w:rsidRDefault="00B87FEF">
            <w:r>
              <w:t>200 physical</w:t>
            </w:r>
            <w:r w:rsidR="00490A64" w:rsidRPr="00490A64">
              <w:t xml:space="preserve"> servers</w:t>
            </w:r>
          </w:p>
        </w:tc>
        <w:tc>
          <w:tcPr>
            <w:tcW w:w="3140" w:type="dxa"/>
            <w:noWrap/>
            <w:hideMark/>
          </w:tcPr>
          <w:p w:rsidR="00490A64" w:rsidRPr="00490A64" w:rsidRDefault="00490A64" w:rsidP="00490A64">
            <w:r w:rsidRPr="00490A64">
              <w:t xml:space="preserve">$1,600,000 </w:t>
            </w:r>
          </w:p>
        </w:tc>
      </w:tr>
      <w:tr w:rsidR="00490A64" w:rsidRPr="00490A64" w:rsidTr="00490A64">
        <w:trPr>
          <w:trHeight w:val="380"/>
        </w:trPr>
        <w:tc>
          <w:tcPr>
            <w:tcW w:w="3320" w:type="dxa"/>
            <w:noWrap/>
            <w:hideMark/>
          </w:tcPr>
          <w:p w:rsidR="00490A64" w:rsidRPr="00490A64" w:rsidRDefault="00490A64">
            <w:r w:rsidRPr="00490A64">
              <w:t>80(10:1)</w:t>
            </w:r>
          </w:p>
        </w:tc>
        <w:tc>
          <w:tcPr>
            <w:tcW w:w="3140" w:type="dxa"/>
            <w:noWrap/>
            <w:hideMark/>
          </w:tcPr>
          <w:p w:rsidR="00490A64" w:rsidRPr="00490A64" w:rsidRDefault="00490A64" w:rsidP="00490A64">
            <w:r w:rsidRPr="00490A64">
              <w:t xml:space="preserve">$1,280,000 </w:t>
            </w:r>
          </w:p>
        </w:tc>
      </w:tr>
      <w:tr w:rsidR="00490A64" w:rsidRPr="00490A64" w:rsidTr="00490A64">
        <w:trPr>
          <w:trHeight w:val="320"/>
        </w:trPr>
        <w:tc>
          <w:tcPr>
            <w:tcW w:w="3320" w:type="dxa"/>
            <w:noWrap/>
            <w:hideMark/>
          </w:tcPr>
          <w:p w:rsidR="00490A64" w:rsidRPr="00490A64" w:rsidRDefault="00490A64">
            <w:r w:rsidRPr="00490A64">
              <w:t>Physical Mainten</w:t>
            </w:r>
            <w:r w:rsidR="00B87FEF">
              <w:t>ance</w:t>
            </w:r>
          </w:p>
        </w:tc>
        <w:tc>
          <w:tcPr>
            <w:tcW w:w="3140" w:type="dxa"/>
            <w:noWrap/>
            <w:hideMark/>
          </w:tcPr>
          <w:p w:rsidR="00490A64" w:rsidRPr="00490A64" w:rsidRDefault="00490A64" w:rsidP="00490A64">
            <w:r w:rsidRPr="00490A64">
              <w:t xml:space="preserve">$1,200,000 </w:t>
            </w:r>
          </w:p>
        </w:tc>
      </w:tr>
      <w:tr w:rsidR="00490A64" w:rsidRPr="00490A64" w:rsidTr="00490A64">
        <w:trPr>
          <w:trHeight w:val="320"/>
        </w:trPr>
        <w:tc>
          <w:tcPr>
            <w:tcW w:w="3320" w:type="dxa"/>
            <w:noWrap/>
            <w:hideMark/>
          </w:tcPr>
          <w:p w:rsidR="00490A64" w:rsidRPr="00490A64" w:rsidRDefault="00490A64">
            <w:r w:rsidRPr="00490A64">
              <w:t xml:space="preserve">Virtual </w:t>
            </w:r>
            <w:r w:rsidR="00B87FEF" w:rsidRPr="00490A64">
              <w:t>Mai</w:t>
            </w:r>
            <w:r w:rsidR="00B87FEF">
              <w:t>ntenance</w:t>
            </w:r>
          </w:p>
        </w:tc>
        <w:tc>
          <w:tcPr>
            <w:tcW w:w="3140" w:type="dxa"/>
            <w:noWrap/>
            <w:hideMark/>
          </w:tcPr>
          <w:p w:rsidR="00490A64" w:rsidRPr="00490A64" w:rsidRDefault="00490A64" w:rsidP="00490A64">
            <w:r w:rsidRPr="00490A64">
              <w:t xml:space="preserve">$720,000 </w:t>
            </w:r>
          </w:p>
        </w:tc>
      </w:tr>
      <w:tr w:rsidR="00490A64" w:rsidRPr="00490A64" w:rsidTr="00490A64">
        <w:trPr>
          <w:trHeight w:val="380"/>
        </w:trPr>
        <w:tc>
          <w:tcPr>
            <w:tcW w:w="3320" w:type="dxa"/>
            <w:noWrap/>
            <w:hideMark/>
          </w:tcPr>
          <w:p w:rsidR="00490A64" w:rsidRPr="00490A64" w:rsidRDefault="00490A64">
            <w:pPr>
              <w:rPr>
                <w:b/>
                <w:bCs/>
              </w:rPr>
            </w:pPr>
            <w:r w:rsidRPr="00490A64">
              <w:rPr>
                <w:b/>
                <w:bCs/>
              </w:rPr>
              <w:t>Total</w:t>
            </w:r>
          </w:p>
        </w:tc>
        <w:tc>
          <w:tcPr>
            <w:tcW w:w="3140" w:type="dxa"/>
            <w:noWrap/>
            <w:hideMark/>
          </w:tcPr>
          <w:p w:rsidR="00490A64" w:rsidRPr="00490A64" w:rsidRDefault="00490A64" w:rsidP="00490A64">
            <w:r w:rsidRPr="00490A64">
              <w:t xml:space="preserve">$4,800,000 </w:t>
            </w:r>
          </w:p>
        </w:tc>
      </w:tr>
    </w:tbl>
    <w:p w:rsidR="00091058" w:rsidRDefault="000910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140"/>
      </w:tblGrid>
      <w:tr w:rsidR="00490A64" w:rsidRPr="00490A64" w:rsidTr="00490A64">
        <w:trPr>
          <w:trHeight w:val="380"/>
        </w:trPr>
        <w:tc>
          <w:tcPr>
            <w:tcW w:w="3320" w:type="dxa"/>
            <w:noWrap/>
            <w:hideMark/>
          </w:tcPr>
          <w:p w:rsidR="00490A64" w:rsidRPr="00490A64" w:rsidRDefault="00490A64">
            <w:pPr>
              <w:rPr>
                <w:b/>
                <w:bCs/>
              </w:rPr>
            </w:pPr>
            <w:r w:rsidRPr="00490A64">
              <w:rPr>
                <w:b/>
                <w:bCs/>
              </w:rPr>
              <w:t>Net Benefit</w:t>
            </w:r>
          </w:p>
        </w:tc>
        <w:tc>
          <w:tcPr>
            <w:tcW w:w="3140" w:type="dxa"/>
            <w:noWrap/>
            <w:hideMark/>
          </w:tcPr>
          <w:p w:rsidR="00490A64" w:rsidRPr="00490A64" w:rsidRDefault="00490A64" w:rsidP="00490A64">
            <w:r w:rsidRPr="00490A64">
              <w:t xml:space="preserve">$9,200,000 </w:t>
            </w:r>
          </w:p>
        </w:tc>
      </w:tr>
    </w:tbl>
    <w:p w:rsidR="00490A64" w:rsidRDefault="00490A64"/>
    <w:p w:rsidR="00091058" w:rsidRDefault="00091058"/>
    <w:p w:rsidR="002C5511" w:rsidRDefault="002C5511"/>
    <w:p w:rsidR="002C5511" w:rsidRDefault="002C5511"/>
    <w:p w:rsidR="002C5511" w:rsidRDefault="002C5511"/>
    <w:p w:rsidR="00B87FEF" w:rsidRDefault="00B87FEF" w:rsidP="00E764BD">
      <w:pPr>
        <w:outlineLvl w:val="0"/>
        <w:rPr>
          <w:b/>
        </w:rPr>
      </w:pPr>
      <w:r w:rsidRPr="00B87FEF">
        <w:rPr>
          <w:b/>
        </w:rPr>
        <w:t>Reference</w:t>
      </w:r>
      <w:r>
        <w:rPr>
          <w:b/>
        </w:rPr>
        <w:t>s:</w:t>
      </w:r>
    </w:p>
    <w:p w:rsidR="00B87FEF" w:rsidRDefault="00B87FEF">
      <w:pPr>
        <w:rPr>
          <w:b/>
        </w:rPr>
      </w:pPr>
    </w:p>
    <w:p w:rsidR="00B87FEF" w:rsidRPr="00B87FEF" w:rsidRDefault="00B87FEF" w:rsidP="00B87FEF">
      <w:proofErr w:type="spellStart"/>
      <w:r w:rsidRPr="00B87FEF">
        <w:t>Vanover</w:t>
      </w:r>
      <w:proofErr w:type="spellEnd"/>
      <w:r w:rsidRPr="00B87FEF">
        <w:t>, Rick. “Physical Servers vs Virtual Machines - How Backups Work.” </w:t>
      </w:r>
      <w:proofErr w:type="spellStart"/>
      <w:r w:rsidRPr="00B87FEF">
        <w:t>Veeam</w:t>
      </w:r>
      <w:proofErr w:type="spellEnd"/>
      <w:r w:rsidRPr="00B87FEF">
        <w:t xml:space="preserve"> Software Official Blog, 30 Nov. 2017, </w:t>
      </w:r>
      <w:hyperlink r:id="rId4" w:history="1">
        <w:r w:rsidRPr="00E764BD">
          <w:rPr>
            <w:rStyle w:val="Hyperlink"/>
          </w:rPr>
          <w:t>www.veeam.com/blog/why-virtual-machine-backups-different.html.</w:t>
        </w:r>
      </w:hyperlink>
    </w:p>
    <w:p w:rsidR="00B87FEF" w:rsidRPr="00D32704" w:rsidRDefault="00B87FEF"/>
    <w:p w:rsidR="00B87FEF" w:rsidRPr="00D32704" w:rsidRDefault="00B87FEF"/>
    <w:p w:rsidR="00B87FEF" w:rsidRPr="00B87FEF" w:rsidRDefault="00B87FEF" w:rsidP="00B87FEF">
      <w:r w:rsidRPr="00B87FEF">
        <w:t>Posey, Brien M. “Benefits of Using Server Consolidation for Energy Efficiency.”</w:t>
      </w:r>
      <w:proofErr w:type="spellStart"/>
      <w:r w:rsidRPr="00B87FEF">
        <w:t>SearchITChannel</w:t>
      </w:r>
      <w:proofErr w:type="spellEnd"/>
      <w:r w:rsidRPr="00B87FEF">
        <w:t xml:space="preserve">, Apr. 2012, </w:t>
      </w:r>
      <w:hyperlink r:id="rId5" w:history="1">
        <w:r w:rsidRPr="00E764BD">
          <w:rPr>
            <w:rStyle w:val="Hyperlink"/>
          </w:rPr>
          <w:t>searchitchannel.techtarget.com/feature/Benefits-of-using-server-consolidation-for-energy-efficiency</w:t>
        </w:r>
      </w:hyperlink>
      <w:r w:rsidRPr="00B87FEF">
        <w:t>.</w:t>
      </w:r>
    </w:p>
    <w:p w:rsidR="00B87FEF" w:rsidRPr="00D32704" w:rsidRDefault="00B87FEF"/>
    <w:p w:rsidR="00D32704" w:rsidRPr="00D32704" w:rsidRDefault="00D32704" w:rsidP="00D32704">
      <w:r w:rsidRPr="00D32704">
        <w:t>Phelps, Tim. “How Do Virtual Servers Work.” </w:t>
      </w:r>
      <w:proofErr w:type="spellStart"/>
      <w:r w:rsidRPr="00D32704">
        <w:t>NetStandard</w:t>
      </w:r>
      <w:proofErr w:type="spellEnd"/>
      <w:r w:rsidRPr="00D32704">
        <w:t xml:space="preserve">, 9 Feb. 2015, </w:t>
      </w:r>
      <w:hyperlink r:id="rId6" w:history="1">
        <w:r w:rsidRPr="00E764BD">
          <w:rPr>
            <w:rStyle w:val="Hyperlink"/>
          </w:rPr>
          <w:t>www.netstandard.com/virtual-servers-work</w:t>
        </w:r>
      </w:hyperlink>
      <w:r w:rsidRPr="00D32704">
        <w:t>/.</w:t>
      </w:r>
    </w:p>
    <w:p w:rsidR="00D32704" w:rsidRPr="00B87FEF" w:rsidRDefault="00D32704">
      <w:pPr>
        <w:rPr>
          <w:b/>
        </w:rPr>
      </w:pPr>
    </w:p>
    <w:sectPr w:rsidR="00D32704" w:rsidRPr="00B8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AF"/>
    <w:rsid w:val="000332AB"/>
    <w:rsid w:val="00062F24"/>
    <w:rsid w:val="00091058"/>
    <w:rsid w:val="000973B0"/>
    <w:rsid w:val="00186B2E"/>
    <w:rsid w:val="002C5511"/>
    <w:rsid w:val="00427238"/>
    <w:rsid w:val="004629ED"/>
    <w:rsid w:val="00490A64"/>
    <w:rsid w:val="004C0B57"/>
    <w:rsid w:val="004D17AF"/>
    <w:rsid w:val="004E0CDE"/>
    <w:rsid w:val="005A6DE9"/>
    <w:rsid w:val="005E438A"/>
    <w:rsid w:val="00692DD9"/>
    <w:rsid w:val="006C4DB0"/>
    <w:rsid w:val="006F1E99"/>
    <w:rsid w:val="0070569A"/>
    <w:rsid w:val="00783E6E"/>
    <w:rsid w:val="007F4661"/>
    <w:rsid w:val="00935888"/>
    <w:rsid w:val="00B87FEF"/>
    <w:rsid w:val="00C50842"/>
    <w:rsid w:val="00D32704"/>
    <w:rsid w:val="00E764BD"/>
    <w:rsid w:val="00F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B28D"/>
  <w15:chartTrackingRefBased/>
  <w15:docId w15:val="{E6A1F35B-004C-4E53-A4EB-5E6A9E7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10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B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64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standard.com/virtual-servers-work" TargetMode="External"/><Relationship Id="rId5" Type="http://schemas.openxmlformats.org/officeDocument/2006/relationships/hyperlink" Target="http://searchitchannel.techtarget.com/feature/Benefits-of-using-server-consolidation-for-energy-efficiency" TargetMode="External"/><Relationship Id="rId4" Type="http://schemas.openxmlformats.org/officeDocument/2006/relationships/hyperlink" Target="http://www.veeam.com/blog/why-virtual-machine-backups-differ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Lykhokon</dc:creator>
  <cp:keywords/>
  <dc:description/>
  <cp:lastModifiedBy>Caroline Lykhokon</cp:lastModifiedBy>
  <cp:revision>9</cp:revision>
  <cp:lastPrinted>2018-02-28T18:11:00Z</cp:lastPrinted>
  <dcterms:created xsi:type="dcterms:W3CDTF">2018-02-28T19:56:00Z</dcterms:created>
  <dcterms:modified xsi:type="dcterms:W3CDTF">2018-03-01T01:19:00Z</dcterms:modified>
</cp:coreProperties>
</file>