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730D" w14:textId="07259AFB" w:rsidR="00424079" w:rsidRDefault="00424079" w:rsidP="00424079">
      <w:pPr>
        <w:spacing w:line="480" w:lineRule="auto"/>
      </w:pPr>
      <w:r>
        <w:t>Cara Evans</w:t>
      </w:r>
    </w:p>
    <w:p w14:paraId="48B73BB1" w14:textId="24489A08" w:rsidR="00424079" w:rsidRDefault="00424079" w:rsidP="00424079">
      <w:pPr>
        <w:spacing w:line="480" w:lineRule="auto"/>
      </w:pPr>
      <w:r>
        <w:t>Professor Doyle</w:t>
      </w:r>
    </w:p>
    <w:p w14:paraId="1049FD8D" w14:textId="096BB3FB" w:rsidR="00424079" w:rsidRDefault="00424079" w:rsidP="00424079">
      <w:pPr>
        <w:spacing w:line="480" w:lineRule="auto"/>
      </w:pPr>
      <w:r>
        <w:t>MIS3406</w:t>
      </w:r>
    </w:p>
    <w:p w14:paraId="0AB21684" w14:textId="4450A9E5" w:rsidR="00424079" w:rsidRDefault="00202EB0" w:rsidP="00424079">
      <w:pPr>
        <w:spacing w:line="480" w:lineRule="auto"/>
      </w:pPr>
      <w:r>
        <w:t>10/11</w:t>
      </w:r>
      <w:r w:rsidR="00424079">
        <w:t>/2018</w:t>
      </w:r>
    </w:p>
    <w:p w14:paraId="6F28D362" w14:textId="092F67E0" w:rsidR="00424079" w:rsidRDefault="00424079" w:rsidP="00424079">
      <w:pPr>
        <w:spacing w:line="480" w:lineRule="auto"/>
        <w:jc w:val="center"/>
      </w:pPr>
      <w:bookmarkStart w:id="0" w:name="_GoBack"/>
      <w:bookmarkEnd w:id="0"/>
      <w:r>
        <w:t>The Case for a Tier III Data Center</w:t>
      </w:r>
    </w:p>
    <w:p w14:paraId="5AADC378" w14:textId="65B23498" w:rsidR="00A257B8" w:rsidRDefault="00424079" w:rsidP="00424079">
      <w:pPr>
        <w:spacing w:line="480" w:lineRule="auto"/>
      </w:pPr>
      <w:r>
        <w:tab/>
      </w:r>
      <w:r w:rsidR="00F54C60">
        <w:t xml:space="preserve">Our company should upgrade to a Tier III data center to drastically reduce the amount of downtime our systems face. </w:t>
      </w:r>
      <w:r w:rsidR="00455C9A">
        <w:t xml:space="preserve">A Tier III data center consists of </w:t>
      </w:r>
      <w:r w:rsidR="00F54C60">
        <w:t xml:space="preserve">redundant equipment, </w:t>
      </w:r>
      <w:r w:rsidR="00455C9A">
        <w:t>which protect our business in the case of an outage. The 3-year net benefit of this project would be</w:t>
      </w:r>
      <w:r w:rsidR="00F54C60">
        <w:t xml:space="preserve"> $24.1 million dollars</w:t>
      </w:r>
      <w:r w:rsidR="00455C9A">
        <w:t>.</w:t>
      </w:r>
    </w:p>
    <w:p w14:paraId="19997CC9" w14:textId="72AD7FAE" w:rsidR="00A257B8" w:rsidRDefault="00A257B8" w:rsidP="00424079">
      <w:pPr>
        <w:spacing w:line="480" w:lineRule="auto"/>
      </w:pPr>
      <w:r>
        <w:tab/>
      </w:r>
      <w:r w:rsidR="00424079" w:rsidRPr="00424079">
        <w:t xml:space="preserve">A Tier III Data Center </w:t>
      </w:r>
      <w:r w:rsidR="00424079">
        <w:t>creates</w:t>
      </w:r>
      <w:r w:rsidR="00424079" w:rsidRPr="00424079">
        <w:t xml:space="preserve"> redundanc</w:t>
      </w:r>
      <w:r w:rsidR="00424079">
        <w:t>y in our data center equipment</w:t>
      </w:r>
      <w:r w:rsidR="00424079" w:rsidRPr="00424079">
        <w:t xml:space="preserve"> </w:t>
      </w:r>
      <w:r w:rsidR="00424079">
        <w:t xml:space="preserve">to allow for planned maintenance shutdowns. Our only presumed downtime will be from outages caused by emergency situations, </w:t>
      </w:r>
      <w:r w:rsidR="00455C9A">
        <w:t>for example,</w:t>
      </w:r>
      <w:r w:rsidR="00424079">
        <w:t xml:space="preserve"> a complete power shutdown. With our current Tier I system, maintenance cannot be performed without a complete shutdown, costing our business </w:t>
      </w:r>
      <w:r w:rsidR="00455C9A">
        <w:t>30 hours of downtime</w:t>
      </w:r>
      <w:r w:rsidR="00424079" w:rsidRPr="00424079">
        <w:t xml:space="preserve">.  </w:t>
      </w:r>
      <w:r w:rsidR="00424079">
        <w:t>Incorporating these redundancies will reduce overall downtime dramatically, allowing us to be a more reliable company and saving us money.</w:t>
      </w:r>
      <w:r w:rsidR="00424079" w:rsidRPr="00424079">
        <w:t xml:space="preserve">  </w:t>
      </w:r>
    </w:p>
    <w:p w14:paraId="536D3058" w14:textId="144E26C8" w:rsidR="00424079" w:rsidRDefault="00424079" w:rsidP="00424079">
      <w:pPr>
        <w:spacing w:line="480" w:lineRule="auto"/>
      </w:pPr>
      <w:r>
        <w:tab/>
        <w:t xml:space="preserve">With an implementation cost of $35,000,000 over the span of a year, we can expect to see a return on this investment by Year 3. The </w:t>
      </w:r>
      <w:r w:rsidR="007F1D60">
        <w:t xml:space="preserve">attached </w:t>
      </w:r>
      <w:r>
        <w:t>chart shows total costs of the current system over the next three years, which equal over $77 million dollars. A Tier III System reduce</w:t>
      </w:r>
      <w:r w:rsidR="00455C9A">
        <w:t>s</w:t>
      </w:r>
      <w:r>
        <w:t xml:space="preserve"> costs by $13.2 million dollars by the third year, with savings only growing in the future.</w:t>
      </w:r>
    </w:p>
    <w:p w14:paraId="558E3571" w14:textId="77777777" w:rsidR="007F1D60" w:rsidRDefault="007F1D60" w:rsidP="00424079">
      <w:pPr>
        <w:spacing w:line="480" w:lineRule="auto"/>
      </w:pPr>
    </w:p>
    <w:p w14:paraId="475ACC98" w14:textId="77777777" w:rsidR="00A257B8" w:rsidRDefault="00A257B8"/>
    <w:p w14:paraId="10C73B99" w14:textId="5CBE8023" w:rsidR="00F55E1F" w:rsidRDefault="00F55E1F"/>
    <w:p w14:paraId="134695A2" w14:textId="15E7364E" w:rsidR="00A257B8" w:rsidRDefault="00A257B8"/>
    <w:p w14:paraId="621B08A1" w14:textId="4CAB8564" w:rsidR="00A257B8" w:rsidRDefault="007F1D60">
      <w:r>
        <w:lastRenderedPageBreak/>
        <w:t>Explanation of calculations:</w:t>
      </w:r>
    </w:p>
    <w:tbl>
      <w:tblPr>
        <w:tblStyle w:val="TableGrid"/>
        <w:tblpPr w:leftFromText="180" w:rightFromText="180" w:vertAnchor="page" w:horzAnchor="margin" w:tblpXSpec="center" w:tblpY="2028"/>
        <w:tblW w:w="10602" w:type="dxa"/>
        <w:tblLook w:val="04A0" w:firstRow="1" w:lastRow="0" w:firstColumn="1" w:lastColumn="0" w:noHBand="0" w:noVBand="1"/>
      </w:tblPr>
      <w:tblGrid>
        <w:gridCol w:w="1771"/>
        <w:gridCol w:w="1364"/>
        <w:gridCol w:w="1800"/>
        <w:gridCol w:w="1800"/>
        <w:gridCol w:w="1710"/>
        <w:gridCol w:w="2157"/>
      </w:tblGrid>
      <w:tr w:rsidR="007F1D60" w14:paraId="4289C8AF" w14:textId="77777777" w:rsidTr="007F1D60">
        <w:trPr>
          <w:trHeight w:val="381"/>
        </w:trPr>
        <w:tc>
          <w:tcPr>
            <w:tcW w:w="1771" w:type="dxa"/>
          </w:tcPr>
          <w:p w14:paraId="487ADFA5" w14:textId="77777777" w:rsidR="007F1D60" w:rsidRDefault="007F1D60" w:rsidP="007F1D60">
            <w:r>
              <w:t>Data Center Type</w:t>
            </w:r>
          </w:p>
        </w:tc>
        <w:tc>
          <w:tcPr>
            <w:tcW w:w="1364" w:type="dxa"/>
          </w:tcPr>
          <w:p w14:paraId="2CE29F2D" w14:textId="77777777" w:rsidR="007F1D60" w:rsidRDefault="007F1D60" w:rsidP="007F1D60">
            <w:r>
              <w:t>% Downtime</w:t>
            </w:r>
          </w:p>
        </w:tc>
        <w:tc>
          <w:tcPr>
            <w:tcW w:w="1800" w:type="dxa"/>
          </w:tcPr>
          <w:p w14:paraId="0D0139D9" w14:textId="77777777" w:rsidR="007F1D60" w:rsidRDefault="007F1D60" w:rsidP="007F1D60">
            <w:r>
              <w:t>Minutes per Year</w:t>
            </w:r>
          </w:p>
        </w:tc>
        <w:tc>
          <w:tcPr>
            <w:tcW w:w="1800" w:type="dxa"/>
          </w:tcPr>
          <w:p w14:paraId="0314EBAA" w14:textId="77777777" w:rsidR="007F1D60" w:rsidRDefault="007F1D60" w:rsidP="007F1D60">
            <w:r>
              <w:t>Minutes of Downtime</w:t>
            </w:r>
          </w:p>
        </w:tc>
        <w:tc>
          <w:tcPr>
            <w:tcW w:w="1710" w:type="dxa"/>
          </w:tcPr>
          <w:p w14:paraId="54A18437" w14:textId="77777777" w:rsidR="007F1D60" w:rsidRDefault="007F1D60" w:rsidP="007F1D60">
            <w:r>
              <w:t>Cost of Downtime per Minute</w:t>
            </w:r>
          </w:p>
        </w:tc>
        <w:tc>
          <w:tcPr>
            <w:tcW w:w="2157" w:type="dxa"/>
          </w:tcPr>
          <w:p w14:paraId="535A194F" w14:textId="77777777" w:rsidR="007F1D60" w:rsidRDefault="007F1D60" w:rsidP="007F1D60">
            <w:r>
              <w:t>Total Cost of Downtime per year</w:t>
            </w:r>
          </w:p>
        </w:tc>
      </w:tr>
      <w:tr w:rsidR="007F1D60" w14:paraId="095DF6E8" w14:textId="77777777" w:rsidTr="007F1D60">
        <w:trPr>
          <w:trHeight w:val="95"/>
        </w:trPr>
        <w:tc>
          <w:tcPr>
            <w:tcW w:w="1771" w:type="dxa"/>
          </w:tcPr>
          <w:p w14:paraId="3AE4CB60" w14:textId="77777777" w:rsidR="007F1D60" w:rsidRDefault="007F1D60" w:rsidP="007F1D60">
            <w:r>
              <w:t>Tier I</w:t>
            </w:r>
          </w:p>
        </w:tc>
        <w:tc>
          <w:tcPr>
            <w:tcW w:w="1364" w:type="dxa"/>
          </w:tcPr>
          <w:p w14:paraId="765AE7A1" w14:textId="0BDD2B25" w:rsidR="007F1D60" w:rsidRDefault="00455C9A" w:rsidP="007F1D60">
            <w:r>
              <w:t>.</w:t>
            </w:r>
            <w:r w:rsidR="007F1D60">
              <w:t>33%</w:t>
            </w:r>
          </w:p>
        </w:tc>
        <w:tc>
          <w:tcPr>
            <w:tcW w:w="1800" w:type="dxa"/>
          </w:tcPr>
          <w:p w14:paraId="18750FD0" w14:textId="77777777" w:rsidR="007F1D60" w:rsidRDefault="007F1D60" w:rsidP="007F1D60">
            <w:r>
              <w:t>525,600 minutes</w:t>
            </w:r>
          </w:p>
        </w:tc>
        <w:tc>
          <w:tcPr>
            <w:tcW w:w="1800" w:type="dxa"/>
          </w:tcPr>
          <w:p w14:paraId="5DEC7002" w14:textId="77777777" w:rsidR="007F1D60" w:rsidRDefault="007F1D60" w:rsidP="007F1D60">
            <w:r>
              <w:t>1,734.48</w:t>
            </w:r>
          </w:p>
        </w:tc>
        <w:tc>
          <w:tcPr>
            <w:tcW w:w="1710" w:type="dxa"/>
          </w:tcPr>
          <w:p w14:paraId="5291E793" w14:textId="77777777" w:rsidR="007F1D60" w:rsidRDefault="007F1D60" w:rsidP="007F1D60">
            <w:r>
              <w:t>$14,800</w:t>
            </w:r>
          </w:p>
        </w:tc>
        <w:tc>
          <w:tcPr>
            <w:tcW w:w="2157" w:type="dxa"/>
          </w:tcPr>
          <w:p w14:paraId="426DCCFE" w14:textId="77777777" w:rsidR="007F1D60" w:rsidRDefault="007F1D60" w:rsidP="007F1D60">
            <w:r>
              <w:t>$25,670,304</w:t>
            </w:r>
          </w:p>
        </w:tc>
      </w:tr>
      <w:tr w:rsidR="007F1D60" w14:paraId="5DDD3022" w14:textId="77777777" w:rsidTr="007F1D60">
        <w:trPr>
          <w:trHeight w:val="95"/>
        </w:trPr>
        <w:tc>
          <w:tcPr>
            <w:tcW w:w="1771" w:type="dxa"/>
          </w:tcPr>
          <w:p w14:paraId="74D5D275" w14:textId="77777777" w:rsidR="007F1D60" w:rsidRDefault="007F1D60" w:rsidP="007F1D60">
            <w:r>
              <w:t>Tier III</w:t>
            </w:r>
          </w:p>
        </w:tc>
        <w:tc>
          <w:tcPr>
            <w:tcW w:w="1364" w:type="dxa"/>
          </w:tcPr>
          <w:p w14:paraId="49F7CAD7" w14:textId="5EA06D76" w:rsidR="007F1D60" w:rsidRDefault="00455C9A" w:rsidP="007F1D60">
            <w:r>
              <w:t>.0</w:t>
            </w:r>
            <w:r w:rsidR="007F1D60">
              <w:t>18%</w:t>
            </w:r>
          </w:p>
        </w:tc>
        <w:tc>
          <w:tcPr>
            <w:tcW w:w="1800" w:type="dxa"/>
          </w:tcPr>
          <w:p w14:paraId="422D6928" w14:textId="77777777" w:rsidR="007F1D60" w:rsidRDefault="007F1D60" w:rsidP="007F1D60">
            <w:r>
              <w:t>525,600 minutes</w:t>
            </w:r>
          </w:p>
        </w:tc>
        <w:tc>
          <w:tcPr>
            <w:tcW w:w="1800" w:type="dxa"/>
          </w:tcPr>
          <w:p w14:paraId="6327EF35" w14:textId="77777777" w:rsidR="007F1D60" w:rsidRDefault="007F1D60" w:rsidP="007F1D60">
            <w:r>
              <w:t>105.12</w:t>
            </w:r>
          </w:p>
        </w:tc>
        <w:tc>
          <w:tcPr>
            <w:tcW w:w="1710" w:type="dxa"/>
          </w:tcPr>
          <w:p w14:paraId="0E10AFA1" w14:textId="77777777" w:rsidR="007F1D60" w:rsidRDefault="007F1D60" w:rsidP="007F1D60">
            <w:r>
              <w:t>$14,800</w:t>
            </w:r>
          </w:p>
        </w:tc>
        <w:tc>
          <w:tcPr>
            <w:tcW w:w="2157" w:type="dxa"/>
          </w:tcPr>
          <w:p w14:paraId="312E7221" w14:textId="77777777" w:rsidR="007F1D60" w:rsidRDefault="007F1D60" w:rsidP="007F1D60">
            <w:r>
              <w:t>$1,555,776</w:t>
            </w:r>
          </w:p>
        </w:tc>
      </w:tr>
      <w:tr w:rsidR="007F1D60" w14:paraId="660AADA3" w14:textId="77777777" w:rsidTr="007F1D60">
        <w:trPr>
          <w:trHeight w:val="95"/>
        </w:trPr>
        <w:tc>
          <w:tcPr>
            <w:tcW w:w="1771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98C6185" w14:textId="77777777" w:rsidR="007F1D60" w:rsidRDefault="007F1D60" w:rsidP="007F1D60"/>
        </w:tc>
        <w:tc>
          <w:tcPr>
            <w:tcW w:w="1364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985E4A2" w14:textId="77777777" w:rsidR="007F1D60" w:rsidRDefault="007F1D60" w:rsidP="007F1D60"/>
        </w:tc>
        <w:tc>
          <w:tcPr>
            <w:tcW w:w="1800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0A11954" w14:textId="77777777" w:rsidR="007F1D60" w:rsidRDefault="007F1D60" w:rsidP="007F1D60"/>
        </w:tc>
        <w:tc>
          <w:tcPr>
            <w:tcW w:w="1800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F559CBB" w14:textId="77777777" w:rsidR="007F1D60" w:rsidRDefault="007F1D60" w:rsidP="007F1D60"/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226A9D62" w14:textId="77777777" w:rsidR="007F1D60" w:rsidRPr="00F54C60" w:rsidRDefault="007F1D60" w:rsidP="007F1D60">
            <w:pPr>
              <w:rPr>
                <w:highlight w:val="yellow"/>
              </w:rPr>
            </w:pPr>
            <w:r w:rsidRPr="00F54C60">
              <w:rPr>
                <w:highlight w:val="yellow"/>
              </w:rPr>
              <w:t>Cost Difference:</w:t>
            </w:r>
          </w:p>
        </w:tc>
        <w:tc>
          <w:tcPr>
            <w:tcW w:w="2157" w:type="dxa"/>
            <w:shd w:val="clear" w:color="auto" w:fill="FFFF00"/>
          </w:tcPr>
          <w:p w14:paraId="6F247E35" w14:textId="77777777" w:rsidR="007F1D60" w:rsidRPr="00F54C60" w:rsidRDefault="007F1D60" w:rsidP="007F1D60">
            <w:pPr>
              <w:rPr>
                <w:highlight w:val="yellow"/>
              </w:rPr>
            </w:pPr>
            <w:r w:rsidRPr="00F54C60">
              <w:rPr>
                <w:highlight w:val="yellow"/>
              </w:rPr>
              <w:t>$24,114,528</w:t>
            </w:r>
          </w:p>
        </w:tc>
      </w:tr>
    </w:tbl>
    <w:p w14:paraId="6E802575" w14:textId="4529FD01" w:rsidR="00A257B8" w:rsidRDefault="00A257B8"/>
    <w:tbl>
      <w:tblPr>
        <w:tblStyle w:val="TableGrid"/>
        <w:tblpPr w:leftFromText="180" w:rightFromText="180" w:vertAnchor="text" w:horzAnchor="margin" w:tblpY="604"/>
        <w:tblW w:w="0" w:type="auto"/>
        <w:tblLook w:val="04A0" w:firstRow="1" w:lastRow="0" w:firstColumn="1" w:lastColumn="0" w:noHBand="0" w:noVBand="1"/>
      </w:tblPr>
      <w:tblGrid>
        <w:gridCol w:w="1736"/>
        <w:gridCol w:w="1997"/>
        <w:gridCol w:w="1997"/>
        <w:gridCol w:w="1997"/>
        <w:gridCol w:w="1623"/>
      </w:tblGrid>
      <w:tr w:rsidR="007F1D60" w14:paraId="195A045B" w14:textId="77777777" w:rsidTr="007F1D60">
        <w:tc>
          <w:tcPr>
            <w:tcW w:w="1736" w:type="dxa"/>
          </w:tcPr>
          <w:p w14:paraId="528656D0" w14:textId="77777777" w:rsidR="007F1D60" w:rsidRDefault="007F1D60" w:rsidP="007F1D60"/>
        </w:tc>
        <w:tc>
          <w:tcPr>
            <w:tcW w:w="1997" w:type="dxa"/>
          </w:tcPr>
          <w:p w14:paraId="06BD4F18" w14:textId="77777777" w:rsidR="007F1D60" w:rsidRDefault="007F1D60" w:rsidP="007F1D60">
            <w:r>
              <w:t>Cost for Year 1</w:t>
            </w:r>
          </w:p>
        </w:tc>
        <w:tc>
          <w:tcPr>
            <w:tcW w:w="1997" w:type="dxa"/>
          </w:tcPr>
          <w:p w14:paraId="279003EB" w14:textId="77777777" w:rsidR="007F1D60" w:rsidRDefault="007F1D60" w:rsidP="007F1D60">
            <w:r>
              <w:t>Cost for Year 2</w:t>
            </w:r>
          </w:p>
        </w:tc>
        <w:tc>
          <w:tcPr>
            <w:tcW w:w="1997" w:type="dxa"/>
          </w:tcPr>
          <w:p w14:paraId="5AF30AB0" w14:textId="77777777" w:rsidR="007F1D60" w:rsidRDefault="007F1D60" w:rsidP="007F1D60">
            <w:r>
              <w:t>Cost for Year 3</w:t>
            </w:r>
          </w:p>
        </w:tc>
        <w:tc>
          <w:tcPr>
            <w:tcW w:w="1623" w:type="dxa"/>
          </w:tcPr>
          <w:p w14:paraId="38EDE43F" w14:textId="77777777" w:rsidR="007F1D60" w:rsidRDefault="007F1D60" w:rsidP="007F1D60">
            <w:r>
              <w:t>Total Cost after 3 Years (Breakeven Year)</w:t>
            </w:r>
          </w:p>
        </w:tc>
      </w:tr>
      <w:tr w:rsidR="007F1D60" w14:paraId="50B0F20A" w14:textId="77777777" w:rsidTr="007F1D60">
        <w:tc>
          <w:tcPr>
            <w:tcW w:w="1736" w:type="dxa"/>
          </w:tcPr>
          <w:p w14:paraId="2D65C4C4" w14:textId="77777777" w:rsidR="007F1D60" w:rsidRDefault="007F1D60" w:rsidP="007F1D60">
            <w:r>
              <w:t>Tier I</w:t>
            </w:r>
          </w:p>
        </w:tc>
        <w:tc>
          <w:tcPr>
            <w:tcW w:w="1997" w:type="dxa"/>
          </w:tcPr>
          <w:p w14:paraId="343A6567" w14:textId="77777777" w:rsidR="007F1D60" w:rsidRDefault="007F1D60" w:rsidP="007F1D60">
            <w:r>
              <w:t>$25,670,304</w:t>
            </w:r>
          </w:p>
        </w:tc>
        <w:tc>
          <w:tcPr>
            <w:tcW w:w="1997" w:type="dxa"/>
          </w:tcPr>
          <w:p w14:paraId="3F50DDDC" w14:textId="77777777" w:rsidR="007F1D60" w:rsidRDefault="007F1D60" w:rsidP="007F1D60">
            <w:r>
              <w:t>$25,670,304</w:t>
            </w:r>
          </w:p>
        </w:tc>
        <w:tc>
          <w:tcPr>
            <w:tcW w:w="1997" w:type="dxa"/>
          </w:tcPr>
          <w:p w14:paraId="1C5C18AA" w14:textId="77777777" w:rsidR="007F1D60" w:rsidRDefault="007F1D60" w:rsidP="007F1D60">
            <w:r>
              <w:t>$25,670,304</w:t>
            </w:r>
          </w:p>
        </w:tc>
        <w:tc>
          <w:tcPr>
            <w:tcW w:w="1623" w:type="dxa"/>
          </w:tcPr>
          <w:p w14:paraId="142B0023" w14:textId="77777777" w:rsidR="007F1D60" w:rsidRDefault="007F1D60" w:rsidP="007F1D60">
            <w:r>
              <w:t>$77,010,912</w:t>
            </w:r>
          </w:p>
        </w:tc>
      </w:tr>
      <w:tr w:rsidR="007F1D60" w14:paraId="6E91D094" w14:textId="77777777" w:rsidTr="007F1D60">
        <w:tc>
          <w:tcPr>
            <w:tcW w:w="1736" w:type="dxa"/>
          </w:tcPr>
          <w:p w14:paraId="2F4253BC" w14:textId="77777777" w:rsidR="007F1D60" w:rsidRDefault="007F1D60" w:rsidP="007F1D60">
            <w:r>
              <w:t>Tier III</w:t>
            </w:r>
          </w:p>
        </w:tc>
        <w:tc>
          <w:tcPr>
            <w:tcW w:w="1997" w:type="dxa"/>
          </w:tcPr>
          <w:p w14:paraId="1E930E91" w14:textId="77777777" w:rsidR="007F1D60" w:rsidRDefault="007F1D60" w:rsidP="007F1D60">
            <w:r>
              <w:t>Upgrade: $35,000,000</w:t>
            </w:r>
          </w:p>
          <w:p w14:paraId="0AA29E28" w14:textId="77777777" w:rsidR="007F1D60" w:rsidRDefault="007F1D60" w:rsidP="007F1D60">
            <w:r>
              <w:t>Tier I Cost: $25,670,304</w:t>
            </w:r>
          </w:p>
        </w:tc>
        <w:tc>
          <w:tcPr>
            <w:tcW w:w="1997" w:type="dxa"/>
          </w:tcPr>
          <w:p w14:paraId="1B9A10F7" w14:textId="77777777" w:rsidR="007F1D60" w:rsidRDefault="007F1D60" w:rsidP="007F1D60">
            <w:r>
              <w:t>$1,555,776</w:t>
            </w:r>
          </w:p>
        </w:tc>
        <w:tc>
          <w:tcPr>
            <w:tcW w:w="1997" w:type="dxa"/>
          </w:tcPr>
          <w:p w14:paraId="0089A28F" w14:textId="77777777" w:rsidR="007F1D60" w:rsidRDefault="007F1D60" w:rsidP="007F1D60">
            <w:r>
              <w:t>$1,555,776</w:t>
            </w:r>
          </w:p>
        </w:tc>
        <w:tc>
          <w:tcPr>
            <w:tcW w:w="1623" w:type="dxa"/>
          </w:tcPr>
          <w:p w14:paraId="3B2DFEB9" w14:textId="77777777" w:rsidR="007F1D60" w:rsidRDefault="007F1D60" w:rsidP="007F1D60">
            <w:r>
              <w:t>$63,781,856</w:t>
            </w:r>
          </w:p>
        </w:tc>
      </w:tr>
    </w:tbl>
    <w:p w14:paraId="76DBE0CF" w14:textId="596C9EE2" w:rsidR="00A257B8" w:rsidRDefault="007F1D60">
      <w:r>
        <w:t>Y</w:t>
      </w:r>
      <w:r w:rsidR="00A257B8">
        <w:t>early cost structure through breakeven year:</w:t>
      </w:r>
    </w:p>
    <w:p w14:paraId="37181852" w14:textId="3269E1EC" w:rsidR="007F1D60" w:rsidRDefault="007F1D60"/>
    <w:p w14:paraId="0689D9BE" w14:textId="2B5CCE34" w:rsidR="007F1D60" w:rsidRDefault="007F1D60" w:rsidP="007F1D60">
      <w:pPr>
        <w:jc w:val="center"/>
      </w:pPr>
      <w:r>
        <w:t>Works Cited</w:t>
      </w:r>
    </w:p>
    <w:p w14:paraId="71730AB6" w14:textId="77777777" w:rsidR="007F1D60" w:rsidRDefault="007F1D60" w:rsidP="00D91254">
      <w:pPr>
        <w:ind w:left="720" w:hanging="720"/>
      </w:pPr>
      <w:r>
        <w:t>Carrol, Alex.  “N+N Data Center Redundancy: How Two of Everything Means Less Data Center Downtime.” Lifeline Data Centers, 12 June 2017, https://lifelinedatacenters.com/data-center/nn-data-center-redundancy-how-two-of-everything-means-less-data-center-downtime/.</w:t>
      </w:r>
    </w:p>
    <w:p w14:paraId="656EED43" w14:textId="77777777" w:rsidR="007F1D60" w:rsidRDefault="007F1D60" w:rsidP="00D91254">
      <w:pPr>
        <w:ind w:left="720" w:hanging="720"/>
      </w:pPr>
    </w:p>
    <w:p w14:paraId="6B911AFF" w14:textId="77777777" w:rsidR="007F1D60" w:rsidRDefault="007F1D60" w:rsidP="00D91254">
      <w:pPr>
        <w:ind w:left="720" w:hanging="720"/>
      </w:pPr>
      <w:r>
        <w:t>Data Center Tier Rating Breakdown - Tier 1, 2, 3, 4 - CLA. Colocation American, 19 Apr. 2017, www.colocationamerica.com/data-center/tier-standards-overview.htm.</w:t>
      </w:r>
    </w:p>
    <w:p w14:paraId="38C5ABE9" w14:textId="77777777" w:rsidR="007F1D60" w:rsidRDefault="007F1D60" w:rsidP="00D91254">
      <w:pPr>
        <w:ind w:left="720" w:hanging="720"/>
      </w:pPr>
    </w:p>
    <w:p w14:paraId="230CF64D" w14:textId="1260EC7A" w:rsidR="007F1D60" w:rsidRDefault="007F1D60" w:rsidP="00D91254">
      <w:pPr>
        <w:ind w:left="720" w:hanging="720"/>
      </w:pPr>
      <w:r>
        <w:t>“Understanding Tier 3 and Tier 4.” Tier3/Tier 4: Data Center Classifications, OVH, https://www.ovh.com/us/dedicated-servers/understanding-t3-t4.xml.</w:t>
      </w:r>
    </w:p>
    <w:sectPr w:rsidR="007F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1F"/>
    <w:rsid w:val="00202EB0"/>
    <w:rsid w:val="00424079"/>
    <w:rsid w:val="00455C9A"/>
    <w:rsid w:val="007F1D60"/>
    <w:rsid w:val="00A257B8"/>
    <w:rsid w:val="00D91254"/>
    <w:rsid w:val="00F54C60"/>
    <w:rsid w:val="00F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2AB2"/>
  <w15:chartTrackingRefBased/>
  <w15:docId w15:val="{10D8D47B-AF81-49E5-8909-C9A7D46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100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1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2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33703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2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351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4769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1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848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3117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1170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8880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4115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1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000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6803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223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5910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504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813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5947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291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2030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12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227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410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97266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217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9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788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83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076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13340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884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35333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660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9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000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016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9908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9016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805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91713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194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4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770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524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35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779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2407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510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939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6019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692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237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480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5083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5906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184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439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75269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2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6960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5286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3531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1992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 Evans</dc:creator>
  <cp:keywords/>
  <dc:description/>
  <cp:lastModifiedBy>Cara M Evans</cp:lastModifiedBy>
  <cp:revision>3</cp:revision>
  <dcterms:created xsi:type="dcterms:W3CDTF">2018-09-20T03:18:00Z</dcterms:created>
  <dcterms:modified xsi:type="dcterms:W3CDTF">2018-10-11T04:18:00Z</dcterms:modified>
</cp:coreProperties>
</file>