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Risk Management Plan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Purpose</w:t>
      </w:r>
    </w:p>
    <w:p w:rsidR="00000000" w:rsidDel="00000000" w:rsidP="00000000" w:rsidRDefault="00000000" w:rsidRPr="00000000">
      <w:pPr>
        <w:pBdr/>
        <w:contextualSpacing w:val="0"/>
        <w:rPr/>
      </w:pPr>
      <w:r w:rsidDel="00000000" w:rsidR="00000000" w:rsidRPr="00000000">
        <w:rPr>
          <w:rtl w:val="0"/>
        </w:rPr>
        <w:t xml:space="preserve">Included in this document explains how our team plans on identifying, analyzing, and resolving known and unknown risks. Furthermore, it briefly describe the steps taking in the processes listed above, giving us a clear and successful plan when handling risks.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Identifying &amp; Documentation</w:t>
      </w:r>
    </w:p>
    <w:p w:rsidR="00000000" w:rsidDel="00000000" w:rsidP="00000000" w:rsidRDefault="00000000" w:rsidRPr="00000000">
      <w:pPr>
        <w:pBdr/>
        <w:contextualSpacing w:val="0"/>
        <w:rPr/>
      </w:pPr>
      <w:r w:rsidDel="00000000" w:rsidR="00000000" w:rsidRPr="00000000">
        <w:rPr>
          <w:rtl w:val="0"/>
        </w:rPr>
        <w:t xml:space="preserve">In order to properly identify risks we must understand what would prevent this project from successeeding. To identify the risks correctly, the engineers will meet with the project managers to discuss the critical path and other key sequencing tasks that, if not completed on time, could lead to failure. Once these risks are properly identified, the team will come together to compile the risks. These risks will be listed in the risk registry. Included in this will be the following metrics, severity and frequency. Once identifying these, the project managers must interview all people working on the project to find what risks could come about. This process will be repeated weekly at our team meetings where we spend time discussing and updated the team on risks that have or might appear.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Monitor &amp; Response</w:t>
      </w:r>
    </w:p>
    <w:p w:rsidR="00000000" w:rsidDel="00000000" w:rsidP="00000000" w:rsidRDefault="00000000" w:rsidRPr="00000000">
      <w:pPr>
        <w:pBdr/>
        <w:contextualSpacing w:val="0"/>
        <w:rPr/>
      </w:pPr>
      <w:r w:rsidDel="00000000" w:rsidR="00000000" w:rsidRPr="00000000">
        <w:rPr>
          <w:rtl w:val="0"/>
        </w:rPr>
        <w:t xml:space="preserve">Once these risks are identified and documented in our Risk Registry, an evaluating and analyzing process will take place for each of these risks. During this process, both the severity and frequency will be closely examined to determine the Risk Level of each risk</w:t>
      </w:r>
      <w:r w:rsidDel="00000000" w:rsidR="00000000" w:rsidRPr="00000000">
        <w:rPr>
          <w:rtl w:val="0"/>
        </w:rPr>
        <w:t xml:space="preserve"> using the following approach:</w:t>
      </w:r>
    </w:p>
    <w:p w:rsidR="00000000" w:rsidDel="00000000" w:rsidP="00000000" w:rsidRDefault="00000000" w:rsidRPr="00000000">
      <w:pPr>
        <w:pBdr/>
        <w:spacing w:line="240" w:lineRule="auto"/>
        <w:contextualSpacing w:val="0"/>
        <w:rPr>
          <w:sz w:val="20"/>
          <w:szCs w:val="20"/>
        </w:rPr>
      </w:pPr>
      <w:r w:rsidDel="00000000" w:rsidR="00000000" w:rsidRPr="00000000">
        <w:rPr>
          <w:b w:val="1"/>
          <w:sz w:val="20"/>
          <w:szCs w:val="20"/>
          <w:rtl w:val="0"/>
        </w:rPr>
        <w:t xml:space="preserve">Probability</w:t>
        <w:tab/>
        <w:tab/>
        <w:tab/>
        <w:tab/>
        <w:tab/>
        <w:tab/>
        <w:tab/>
        <w:tab/>
        <w:tab/>
        <w:t xml:space="preserve">Impact</w:t>
      </w:r>
      <w:r w:rsidDel="00000000" w:rsidR="00000000" w:rsidRPr="00000000">
        <w:rPr>
          <w:rtl w:val="0"/>
        </w:rPr>
      </w:r>
    </w:p>
    <w:p w:rsidR="00000000" w:rsidDel="00000000" w:rsidP="00000000" w:rsidRDefault="00000000" w:rsidRPr="00000000">
      <w:pPr>
        <w:pBdr/>
        <w:spacing w:line="240" w:lineRule="auto"/>
        <w:contextualSpacing w:val="0"/>
        <w:rPr>
          <w:sz w:val="20"/>
          <w:szCs w:val="20"/>
        </w:rPr>
      </w:pPr>
      <w:r w:rsidDel="00000000" w:rsidR="00000000" w:rsidRPr="00000000">
        <w:rPr>
          <w:sz w:val="20"/>
          <w:szCs w:val="20"/>
          <w:rtl w:val="0"/>
        </w:rPr>
        <w:t xml:space="preserve">·    High – Greater than </w:t>
      </w:r>
      <w:r w:rsidDel="00000000" w:rsidR="00000000" w:rsidRPr="00000000">
        <w:rPr>
          <w:i w:val="1"/>
          <w:color w:val="0000ff"/>
          <w:sz w:val="20"/>
          <w:szCs w:val="20"/>
          <w:rtl w:val="0"/>
        </w:rPr>
        <w:t xml:space="preserve">&lt;70%&gt;</w:t>
      </w:r>
      <w:r w:rsidDel="00000000" w:rsidR="00000000" w:rsidRPr="00000000">
        <w:rPr>
          <w:sz w:val="20"/>
          <w:szCs w:val="20"/>
          <w:rtl w:val="0"/>
        </w:rPr>
        <w:t xml:space="preserve"> probability of occurrence</w:t>
        <w:tab/>
        <w:tab/>
        <w:tab/>
        <w:t xml:space="preserve">·    High</w:t>
      </w:r>
    </w:p>
    <w:p w:rsidR="00000000" w:rsidDel="00000000" w:rsidP="00000000" w:rsidRDefault="00000000" w:rsidRPr="00000000">
      <w:pPr>
        <w:pBdr/>
        <w:spacing w:line="240" w:lineRule="auto"/>
        <w:contextualSpacing w:val="0"/>
        <w:rPr>
          <w:sz w:val="20"/>
          <w:szCs w:val="20"/>
        </w:rPr>
      </w:pPr>
      <w:r w:rsidDel="00000000" w:rsidR="00000000" w:rsidRPr="00000000">
        <w:rPr>
          <w:sz w:val="20"/>
          <w:szCs w:val="20"/>
          <w:rtl w:val="0"/>
        </w:rPr>
        <w:t xml:space="preserve">·    Medium – Between </w:t>
      </w:r>
      <w:r w:rsidDel="00000000" w:rsidR="00000000" w:rsidRPr="00000000">
        <w:rPr>
          <w:i w:val="1"/>
          <w:color w:val="0000ff"/>
          <w:sz w:val="20"/>
          <w:szCs w:val="20"/>
          <w:rtl w:val="0"/>
        </w:rPr>
        <w:t xml:space="preserve">&lt;30%&gt;</w:t>
      </w:r>
      <w:r w:rsidDel="00000000" w:rsidR="00000000" w:rsidRPr="00000000">
        <w:rPr>
          <w:sz w:val="20"/>
          <w:szCs w:val="20"/>
          <w:rtl w:val="0"/>
        </w:rPr>
        <w:t xml:space="preserve"> and </w:t>
      </w:r>
      <w:r w:rsidDel="00000000" w:rsidR="00000000" w:rsidRPr="00000000">
        <w:rPr>
          <w:i w:val="1"/>
          <w:color w:val="0000ff"/>
          <w:sz w:val="20"/>
          <w:szCs w:val="20"/>
          <w:rtl w:val="0"/>
        </w:rPr>
        <w:t xml:space="preserve">&lt;70%&gt;</w:t>
      </w:r>
      <w:r w:rsidDel="00000000" w:rsidR="00000000" w:rsidRPr="00000000">
        <w:rPr>
          <w:sz w:val="20"/>
          <w:szCs w:val="20"/>
          <w:rtl w:val="0"/>
        </w:rPr>
        <w:t xml:space="preserve"> probability of occurrence</w:t>
        <w:tab/>
        <w:t xml:space="preserve">·    Medium</w:t>
      </w:r>
    </w:p>
    <w:p w:rsidR="00000000" w:rsidDel="00000000" w:rsidP="00000000" w:rsidRDefault="00000000" w:rsidRPr="00000000">
      <w:pPr>
        <w:pBdr/>
        <w:spacing w:line="240" w:lineRule="auto"/>
        <w:contextualSpacing w:val="0"/>
        <w:rPr>
          <w:sz w:val="20"/>
          <w:szCs w:val="20"/>
        </w:rPr>
      </w:pPr>
      <w:r w:rsidDel="00000000" w:rsidR="00000000" w:rsidRPr="00000000">
        <w:rPr>
          <w:sz w:val="20"/>
          <w:szCs w:val="20"/>
          <w:rtl w:val="0"/>
        </w:rPr>
        <w:t xml:space="preserve">·    Low – Below </w:t>
      </w:r>
      <w:r w:rsidDel="00000000" w:rsidR="00000000" w:rsidRPr="00000000">
        <w:rPr>
          <w:i w:val="1"/>
          <w:color w:val="0000ff"/>
          <w:sz w:val="20"/>
          <w:szCs w:val="20"/>
          <w:rtl w:val="0"/>
        </w:rPr>
        <w:t xml:space="preserve">&lt;30%&gt;</w:t>
      </w:r>
      <w:r w:rsidDel="00000000" w:rsidR="00000000" w:rsidRPr="00000000">
        <w:rPr>
          <w:sz w:val="20"/>
          <w:szCs w:val="20"/>
          <w:rtl w:val="0"/>
        </w:rPr>
        <w:t xml:space="preserve"> probability of occurrence</w:t>
        <w:tab/>
        <w:tab/>
        <w:tab/>
        <w:tab/>
        <w:t xml:space="preserve">·    Low</w:t>
      </w:r>
    </w:p>
    <w:p w:rsidR="00000000" w:rsidDel="00000000" w:rsidP="00000000" w:rsidRDefault="00000000" w:rsidRPr="00000000">
      <w:pPr>
        <w:pBdr/>
        <w:spacing w:line="240" w:lineRule="auto"/>
        <w:contextualSpacing w:val="0"/>
        <w:rPr>
          <w:sz w:val="16"/>
          <w:szCs w:val="16"/>
        </w:rPr>
      </w:pPr>
      <w:r w:rsidDel="00000000" w:rsidR="00000000" w:rsidRPr="00000000">
        <w:rPr>
          <w:rtl w:val="0"/>
        </w:rPr>
      </w:r>
    </w:p>
    <w:tbl>
      <w:tblPr>
        <w:tblStyle w:val="Table1"/>
        <w:bidiVisual w:val="0"/>
        <w:tblW w:w="3735.0" w:type="dxa"/>
        <w:jc w:val="left"/>
        <w:tblInd w:w="165.0" w:type="dxa"/>
        <w:tblLayout w:type="fixed"/>
        <w:tblLook w:val="0400"/>
      </w:tblPr>
      <w:tblGrid>
        <w:gridCol w:w="1275"/>
        <w:gridCol w:w="465"/>
        <w:gridCol w:w="630"/>
        <w:gridCol w:w="675"/>
        <w:gridCol w:w="690"/>
        <w:tblGridChange w:id="0">
          <w:tblGrid>
            <w:gridCol w:w="1275"/>
            <w:gridCol w:w="465"/>
            <w:gridCol w:w="630"/>
            <w:gridCol w:w="675"/>
            <w:gridCol w:w="690"/>
          </w:tblGrid>
        </w:tblGridChange>
      </w:tblGrid>
      <w:tr>
        <w:tc>
          <w:tcPr>
            <w:vMerge w:val="restart"/>
            <w:tcBorders>
              <w:top w:color="000000" w:space="0" w:sz="6" w:val="single"/>
              <w:left w:color="000000" w:space="0" w:sz="6" w:val="single"/>
              <w:bottom w:color="000000" w:space="0" w:sz="6" w:val="single"/>
              <w:right w:color="000000" w:space="0" w:sz="6" w:val="single"/>
            </w:tcBorders>
            <w:shd w:fill="000000"/>
            <w:tcMar>
              <w:top w:w="105.0" w:type="dxa"/>
              <w:left w:w="105.0" w:type="dxa"/>
              <w:bottom w:w="105.0" w:type="dxa"/>
              <w:right w:w="105.0" w:type="dxa"/>
            </w:tcMar>
          </w:tcPr>
          <w:p w:rsidR="00000000" w:rsidDel="00000000" w:rsidP="00000000" w:rsidRDefault="00000000" w:rsidRPr="00000000">
            <w:pPr>
              <w:pBdr/>
              <w:spacing w:line="240" w:lineRule="auto"/>
              <w:ind w:left="260" w:right="260" w:firstLine="0"/>
              <w:contextualSpacing w:val="0"/>
              <w:jc w:val="right"/>
              <w:rPr>
                <w:sz w:val="16"/>
                <w:szCs w:val="16"/>
              </w:rPr>
            </w:pPr>
            <w:r w:rsidDel="00000000" w:rsidR="00000000" w:rsidRPr="00000000">
              <w:rPr>
                <w:b w:val="1"/>
                <w:color w:val="ffffff"/>
                <w:sz w:val="16"/>
                <w:szCs w:val="16"/>
                <w:highlight w:val="black"/>
                <w:rtl w:val="0"/>
              </w:rPr>
              <w:t xml:space="preserve">Impact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5.0" w:type="dxa"/>
              <w:left w:w="105.0" w:type="dxa"/>
              <w:bottom w:w="105.0" w:type="dxa"/>
              <w:right w:w="105.0" w:type="dxa"/>
            </w:tcMar>
          </w:tcPr>
          <w:p w:rsidR="00000000" w:rsidDel="00000000" w:rsidP="00000000" w:rsidRDefault="00000000" w:rsidRPr="00000000">
            <w:pPr>
              <w:pBdr/>
              <w:spacing w:line="240" w:lineRule="auto"/>
              <w:ind w:left="140" w:right="140" w:firstLine="0"/>
              <w:contextualSpacing w:val="0"/>
              <w:jc w:val="right"/>
              <w:rPr>
                <w:sz w:val="16"/>
                <w:szCs w:val="16"/>
              </w:rPr>
            </w:pPr>
            <w:r w:rsidDel="00000000" w:rsidR="00000000" w:rsidRPr="00000000">
              <w:rPr>
                <w:b w:val="1"/>
                <w:sz w:val="16"/>
                <w:szCs w:val="16"/>
                <w:shd w:fill="d9d9d9" w:val="clear"/>
                <w:rtl w:val="0"/>
              </w:rPr>
              <w:t xml:space="preserve">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00"/>
            <w:tcMar>
              <w:top w:w="105.0" w:type="dxa"/>
              <w:left w:w="105.0" w:type="dxa"/>
              <w:bottom w:w="105.0" w:type="dxa"/>
              <w:right w:w="105.0" w:type="dxa"/>
            </w:tcMar>
          </w:tcPr>
          <w:p w:rsidR="00000000" w:rsidDel="00000000" w:rsidP="00000000" w:rsidRDefault="00000000" w:rsidRPr="00000000">
            <w:pPr>
              <w:pBdr/>
              <w:spacing w:line="240" w:lineRule="auto"/>
              <w:contextualSpacing w:val="0"/>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0000"/>
            <w:tcMar>
              <w:top w:w="105.0" w:type="dxa"/>
              <w:left w:w="105.0" w:type="dxa"/>
              <w:bottom w:w="105.0" w:type="dxa"/>
              <w:right w:w="105.0" w:type="dxa"/>
            </w:tcMar>
          </w:tcPr>
          <w:p w:rsidR="00000000" w:rsidDel="00000000" w:rsidP="00000000" w:rsidRDefault="00000000" w:rsidRPr="00000000">
            <w:pPr>
              <w:pBdr/>
              <w:spacing w:line="240" w:lineRule="auto"/>
              <w:contextualSpacing w:val="0"/>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0000"/>
            <w:tcMar>
              <w:top w:w="105.0" w:type="dxa"/>
              <w:left w:w="105.0" w:type="dxa"/>
              <w:bottom w:w="105.0" w:type="dxa"/>
              <w:right w:w="105.0" w:type="dxa"/>
            </w:tcMar>
          </w:tcPr>
          <w:p w:rsidR="00000000" w:rsidDel="00000000" w:rsidP="00000000" w:rsidRDefault="00000000" w:rsidRPr="00000000">
            <w:pPr>
              <w:pBdr/>
              <w:spacing w:line="240" w:lineRule="auto"/>
              <w:contextualSpacing w:val="0"/>
              <w:rPr>
                <w:sz w:val="16"/>
                <w:szCs w:val="16"/>
              </w:rPr>
            </w:pPr>
            <w:r w:rsidDel="00000000" w:rsidR="00000000" w:rsidRPr="00000000">
              <w:rPr>
                <w:rtl w:val="0"/>
              </w:rPr>
            </w:r>
          </w:p>
        </w:tc>
      </w:tr>
      <w:tr>
        <w:tc>
          <w:tcPr>
            <w:vMerge w:val="continue"/>
            <w:tcBorders>
              <w:top w:color="000000" w:space="0" w:sz="6" w:val="single"/>
              <w:left w:color="000000" w:space="0" w:sz="6" w:val="single"/>
              <w:bottom w:color="000000" w:space="0" w:sz="6" w:val="single"/>
              <w:right w:color="000000" w:space="0" w:sz="6" w:val="single"/>
            </w:tcBorders>
            <w:shd w:fill="000000"/>
            <w:tcMar>
              <w:top w:w="105.0" w:type="dxa"/>
              <w:left w:w="105.0" w:type="dxa"/>
              <w:bottom w:w="105.0" w:type="dxa"/>
              <w:right w:w="105.0" w:type="dxa"/>
            </w:tcMar>
          </w:tcPr>
          <w:p w:rsidR="00000000" w:rsidDel="00000000" w:rsidP="00000000" w:rsidRDefault="00000000" w:rsidRPr="00000000">
            <w:pPr>
              <w:pBdr/>
              <w:spacing w:line="240" w:lineRule="auto"/>
              <w:contextualSpacing w:val="0"/>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5.0" w:type="dxa"/>
              <w:left w:w="105.0" w:type="dxa"/>
              <w:bottom w:w="105.0" w:type="dxa"/>
              <w:right w:w="105.0" w:type="dxa"/>
            </w:tcMar>
          </w:tcPr>
          <w:p w:rsidR="00000000" w:rsidDel="00000000" w:rsidP="00000000" w:rsidRDefault="00000000" w:rsidRPr="00000000">
            <w:pPr>
              <w:pBdr/>
              <w:spacing w:line="240" w:lineRule="auto"/>
              <w:ind w:left="140" w:right="140" w:firstLine="0"/>
              <w:contextualSpacing w:val="0"/>
              <w:jc w:val="right"/>
              <w:rPr>
                <w:sz w:val="16"/>
                <w:szCs w:val="16"/>
              </w:rPr>
            </w:pPr>
            <w:r w:rsidDel="00000000" w:rsidR="00000000" w:rsidRPr="00000000">
              <w:rPr>
                <w:b w:val="1"/>
                <w:sz w:val="16"/>
                <w:szCs w:val="16"/>
                <w:shd w:fill="d9d9d9" w:val="clear"/>
                <w:rtl w:val="0"/>
              </w:rPr>
              <w:t xml:space="preserv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ff00"/>
            <w:tcMar>
              <w:top w:w="105.0" w:type="dxa"/>
              <w:left w:w="105.0" w:type="dxa"/>
              <w:bottom w:w="105.0" w:type="dxa"/>
              <w:right w:w="105.0" w:type="dxa"/>
            </w:tcMar>
          </w:tcPr>
          <w:p w:rsidR="00000000" w:rsidDel="00000000" w:rsidP="00000000" w:rsidRDefault="00000000" w:rsidRPr="00000000">
            <w:pPr>
              <w:pBdr/>
              <w:spacing w:line="240" w:lineRule="auto"/>
              <w:contextualSpacing w:val="0"/>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00"/>
            <w:tcMar>
              <w:top w:w="105.0" w:type="dxa"/>
              <w:left w:w="105.0" w:type="dxa"/>
              <w:bottom w:w="105.0" w:type="dxa"/>
              <w:right w:w="105.0" w:type="dxa"/>
            </w:tcMar>
          </w:tcPr>
          <w:p w:rsidR="00000000" w:rsidDel="00000000" w:rsidP="00000000" w:rsidRDefault="00000000" w:rsidRPr="00000000">
            <w:pPr>
              <w:pBdr/>
              <w:spacing w:line="240" w:lineRule="auto"/>
              <w:contextualSpacing w:val="0"/>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0000"/>
            <w:tcMar>
              <w:top w:w="105.0" w:type="dxa"/>
              <w:left w:w="105.0" w:type="dxa"/>
              <w:bottom w:w="105.0" w:type="dxa"/>
              <w:right w:w="105.0" w:type="dxa"/>
            </w:tcMar>
          </w:tcPr>
          <w:p w:rsidR="00000000" w:rsidDel="00000000" w:rsidP="00000000" w:rsidRDefault="00000000" w:rsidRPr="00000000">
            <w:pPr>
              <w:pBdr/>
              <w:spacing w:line="240" w:lineRule="auto"/>
              <w:contextualSpacing w:val="0"/>
              <w:rPr>
                <w:sz w:val="16"/>
                <w:szCs w:val="16"/>
              </w:rPr>
            </w:pPr>
            <w:r w:rsidDel="00000000" w:rsidR="00000000" w:rsidRPr="00000000">
              <w:rPr>
                <w:rtl w:val="0"/>
              </w:rPr>
            </w:r>
          </w:p>
        </w:tc>
      </w:tr>
      <w:tr>
        <w:tc>
          <w:tcPr>
            <w:vMerge w:val="continue"/>
            <w:tcBorders>
              <w:top w:color="000000" w:space="0" w:sz="6" w:val="single"/>
              <w:left w:color="000000" w:space="0" w:sz="6" w:val="single"/>
              <w:bottom w:color="000000" w:space="0" w:sz="6" w:val="single"/>
              <w:right w:color="000000" w:space="0" w:sz="6" w:val="single"/>
            </w:tcBorders>
            <w:shd w:fill="000000"/>
            <w:tcMar>
              <w:top w:w="105.0" w:type="dxa"/>
              <w:left w:w="105.0" w:type="dxa"/>
              <w:bottom w:w="105.0" w:type="dxa"/>
              <w:right w:w="105.0" w:type="dxa"/>
            </w:tcMar>
          </w:tcPr>
          <w:p w:rsidR="00000000" w:rsidDel="00000000" w:rsidP="00000000" w:rsidRDefault="00000000" w:rsidRPr="00000000">
            <w:pPr>
              <w:pBdr/>
              <w:spacing w:line="240" w:lineRule="auto"/>
              <w:contextualSpacing w:val="0"/>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5.0" w:type="dxa"/>
              <w:left w:w="105.0" w:type="dxa"/>
              <w:bottom w:w="105.0" w:type="dxa"/>
              <w:right w:w="105.0" w:type="dxa"/>
            </w:tcMar>
          </w:tcPr>
          <w:p w:rsidR="00000000" w:rsidDel="00000000" w:rsidP="00000000" w:rsidRDefault="00000000" w:rsidRPr="00000000">
            <w:pPr>
              <w:pBdr/>
              <w:spacing w:line="240" w:lineRule="auto"/>
              <w:ind w:left="140" w:right="140" w:firstLine="0"/>
              <w:contextualSpacing w:val="0"/>
              <w:jc w:val="right"/>
              <w:rPr>
                <w:sz w:val="16"/>
                <w:szCs w:val="16"/>
              </w:rPr>
            </w:pPr>
            <w:r w:rsidDel="00000000" w:rsidR="00000000" w:rsidRPr="00000000">
              <w:rPr>
                <w:b w:val="1"/>
                <w:sz w:val="16"/>
                <w:szCs w:val="16"/>
                <w:shd w:fill="d9d9d9" w:val="clear"/>
                <w:rtl w:val="0"/>
              </w:rPr>
              <w:t xml:space="preserve">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ff00"/>
            <w:tcMar>
              <w:top w:w="105.0" w:type="dxa"/>
              <w:left w:w="105.0" w:type="dxa"/>
              <w:bottom w:w="105.0" w:type="dxa"/>
              <w:right w:w="105.0" w:type="dxa"/>
            </w:tcMar>
          </w:tcPr>
          <w:p w:rsidR="00000000" w:rsidDel="00000000" w:rsidP="00000000" w:rsidRDefault="00000000" w:rsidRPr="00000000">
            <w:pPr>
              <w:pBdr/>
              <w:spacing w:line="240" w:lineRule="auto"/>
              <w:contextualSpacing w:val="0"/>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ff00"/>
            <w:tcMar>
              <w:top w:w="105.0" w:type="dxa"/>
              <w:left w:w="105.0" w:type="dxa"/>
              <w:bottom w:w="105.0" w:type="dxa"/>
              <w:right w:w="105.0" w:type="dxa"/>
            </w:tcMar>
          </w:tcPr>
          <w:p w:rsidR="00000000" w:rsidDel="00000000" w:rsidP="00000000" w:rsidRDefault="00000000" w:rsidRPr="00000000">
            <w:pPr>
              <w:pBdr/>
              <w:spacing w:line="240" w:lineRule="auto"/>
              <w:contextualSpacing w:val="0"/>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00"/>
            <w:tcMar>
              <w:top w:w="105.0" w:type="dxa"/>
              <w:left w:w="105.0" w:type="dxa"/>
              <w:bottom w:w="105.0" w:type="dxa"/>
              <w:right w:w="105.0" w:type="dxa"/>
            </w:tcMar>
          </w:tcPr>
          <w:p w:rsidR="00000000" w:rsidDel="00000000" w:rsidP="00000000" w:rsidRDefault="00000000" w:rsidRPr="00000000">
            <w:pPr>
              <w:pBdr/>
              <w:spacing w:line="240" w:lineRule="auto"/>
              <w:contextualSpacing w:val="0"/>
              <w:rPr>
                <w:sz w:val="16"/>
                <w:szCs w:val="16"/>
              </w:rPr>
            </w:pPr>
            <w:r w:rsidDel="00000000" w:rsidR="00000000" w:rsidRPr="00000000">
              <w:rPr>
                <w:rtl w:val="0"/>
              </w:rPr>
            </w:r>
          </w:p>
        </w:tc>
      </w:tr>
      <w:tr>
        <w:tc>
          <w:tcPr>
            <w:vMerge w:val="continue"/>
            <w:tcBorders>
              <w:top w:color="000000" w:space="0" w:sz="6" w:val="single"/>
              <w:left w:color="000000" w:space="0" w:sz="6" w:val="single"/>
              <w:bottom w:color="000000" w:space="0" w:sz="6" w:val="single"/>
              <w:right w:color="000000" w:space="0" w:sz="6" w:val="single"/>
            </w:tcBorders>
            <w:shd w:fill="000000"/>
            <w:tcMar>
              <w:top w:w="105.0" w:type="dxa"/>
              <w:left w:w="105.0" w:type="dxa"/>
              <w:bottom w:w="105.0" w:type="dxa"/>
              <w:right w:w="105.0" w:type="dxa"/>
            </w:tcMar>
          </w:tcPr>
          <w:p w:rsidR="00000000" w:rsidDel="00000000" w:rsidP="00000000" w:rsidRDefault="00000000" w:rsidRPr="00000000">
            <w:pPr>
              <w:pBdr/>
              <w:spacing w:line="240" w:lineRule="auto"/>
              <w:contextualSpacing w:val="0"/>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5.0" w:type="dxa"/>
              <w:left w:w="105.0" w:type="dxa"/>
              <w:bottom w:w="105.0" w:type="dxa"/>
              <w:right w:w="105.0" w:type="dxa"/>
            </w:tcMar>
          </w:tcPr>
          <w:p w:rsidR="00000000" w:rsidDel="00000000" w:rsidP="00000000" w:rsidRDefault="00000000" w:rsidRPr="00000000">
            <w:pPr>
              <w:pBdr/>
              <w:spacing w:line="240" w:lineRule="auto"/>
              <w:contextualSpacing w:val="0"/>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5.0" w:type="dxa"/>
              <w:left w:w="105.0" w:type="dxa"/>
              <w:bottom w:w="105.0" w:type="dxa"/>
              <w:right w:w="105.0" w:type="dxa"/>
            </w:tcMar>
          </w:tcPr>
          <w:p w:rsidR="00000000" w:rsidDel="00000000" w:rsidP="00000000" w:rsidRDefault="00000000" w:rsidRPr="00000000">
            <w:pPr>
              <w:pBdr/>
              <w:spacing w:line="240" w:lineRule="auto"/>
              <w:ind w:left="140" w:right="140" w:firstLine="0"/>
              <w:contextualSpacing w:val="0"/>
              <w:jc w:val="center"/>
              <w:rPr>
                <w:sz w:val="16"/>
                <w:szCs w:val="16"/>
              </w:rPr>
            </w:pPr>
            <w:r w:rsidDel="00000000" w:rsidR="00000000" w:rsidRPr="00000000">
              <w:rPr>
                <w:b w:val="1"/>
                <w:sz w:val="16"/>
                <w:szCs w:val="16"/>
                <w:shd w:fill="d9d9d9" w:val="clear"/>
                <w:rtl w:val="0"/>
              </w:rPr>
              <w:t xml:space="preserve">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5.0" w:type="dxa"/>
              <w:left w:w="105.0" w:type="dxa"/>
              <w:bottom w:w="105.0" w:type="dxa"/>
              <w:right w:w="105.0" w:type="dxa"/>
            </w:tcMar>
          </w:tcPr>
          <w:p w:rsidR="00000000" w:rsidDel="00000000" w:rsidP="00000000" w:rsidRDefault="00000000" w:rsidRPr="00000000">
            <w:pPr>
              <w:pBdr/>
              <w:spacing w:line="240" w:lineRule="auto"/>
              <w:ind w:left="140" w:right="140" w:firstLine="0"/>
              <w:contextualSpacing w:val="0"/>
              <w:jc w:val="center"/>
              <w:rPr>
                <w:sz w:val="16"/>
                <w:szCs w:val="16"/>
              </w:rPr>
            </w:pPr>
            <w:r w:rsidDel="00000000" w:rsidR="00000000" w:rsidRPr="00000000">
              <w:rPr>
                <w:b w:val="1"/>
                <w:sz w:val="16"/>
                <w:szCs w:val="16"/>
                <w:shd w:fill="d9d9d9" w:val="clear"/>
                <w:rtl w:val="0"/>
              </w:rPr>
              <w:t xml:space="preserv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5.0" w:type="dxa"/>
              <w:left w:w="105.0" w:type="dxa"/>
              <w:bottom w:w="105.0" w:type="dxa"/>
              <w:right w:w="105.0" w:type="dxa"/>
            </w:tcMar>
          </w:tcPr>
          <w:p w:rsidR="00000000" w:rsidDel="00000000" w:rsidP="00000000" w:rsidRDefault="00000000" w:rsidRPr="00000000">
            <w:pPr>
              <w:pBdr/>
              <w:spacing w:line="240" w:lineRule="auto"/>
              <w:ind w:left="140" w:right="140" w:firstLine="0"/>
              <w:contextualSpacing w:val="0"/>
              <w:jc w:val="center"/>
              <w:rPr>
                <w:sz w:val="16"/>
                <w:szCs w:val="16"/>
              </w:rPr>
            </w:pPr>
            <w:r w:rsidDel="00000000" w:rsidR="00000000" w:rsidRPr="00000000">
              <w:rPr>
                <w:b w:val="1"/>
                <w:sz w:val="16"/>
                <w:szCs w:val="16"/>
                <w:shd w:fill="d9d9d9" w:val="clear"/>
                <w:rtl w:val="0"/>
              </w:rPr>
              <w:t xml:space="preserve">H</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00000"/>
            <w:tcMar>
              <w:top w:w="105.0" w:type="dxa"/>
              <w:left w:w="105.0" w:type="dxa"/>
              <w:bottom w:w="105.0" w:type="dxa"/>
              <w:right w:w="105.0" w:type="dxa"/>
            </w:tcMar>
          </w:tcPr>
          <w:p w:rsidR="00000000" w:rsidDel="00000000" w:rsidP="00000000" w:rsidRDefault="00000000" w:rsidRPr="00000000">
            <w:pPr>
              <w:pBdr/>
              <w:spacing w:line="240" w:lineRule="auto"/>
              <w:contextualSpacing w:val="0"/>
              <w:rPr>
                <w:sz w:val="16"/>
                <w:szCs w:val="16"/>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000000"/>
            <w:tcMar>
              <w:top w:w="105.0" w:type="dxa"/>
              <w:left w:w="105.0" w:type="dxa"/>
              <w:bottom w:w="105.0" w:type="dxa"/>
              <w:right w:w="105.0" w:type="dxa"/>
            </w:tcMar>
          </w:tcPr>
          <w:p w:rsidR="00000000" w:rsidDel="00000000" w:rsidP="00000000" w:rsidRDefault="00000000" w:rsidRPr="00000000">
            <w:pPr>
              <w:pBdr/>
              <w:spacing w:line="240" w:lineRule="auto"/>
              <w:ind w:left="140" w:right="140" w:firstLine="0"/>
              <w:contextualSpacing w:val="0"/>
              <w:jc w:val="center"/>
              <w:rPr>
                <w:sz w:val="16"/>
                <w:szCs w:val="16"/>
              </w:rPr>
            </w:pPr>
            <w:r w:rsidDel="00000000" w:rsidR="00000000" w:rsidRPr="00000000">
              <w:rPr>
                <w:b w:val="1"/>
                <w:color w:val="ffffff"/>
                <w:sz w:val="16"/>
                <w:szCs w:val="16"/>
                <w:highlight w:val="black"/>
                <w:rtl w:val="0"/>
              </w:rPr>
              <w:t xml:space="preserve">Probability</w:t>
            </w:r>
            <w:r w:rsidDel="00000000" w:rsidR="00000000" w:rsidRPr="00000000">
              <w:rPr>
                <w:rtl w:val="0"/>
              </w:rPr>
            </w:r>
          </w:p>
        </w:tc>
      </w:tr>
    </w:tbl>
    <w:p w:rsidR="00000000" w:rsidDel="00000000" w:rsidP="00000000" w:rsidRDefault="00000000" w:rsidRPr="00000000">
      <w:pPr>
        <w:pBdr/>
        <w:spacing w:after="80" w:before="360" w:line="240" w:lineRule="auto"/>
        <w:contextualSpacing w:val="0"/>
        <w:rPr>
          <w:b w:val="1"/>
          <w:u w:val="single"/>
        </w:rPr>
      </w:pPr>
      <w:r w:rsidDel="00000000" w:rsidR="00000000" w:rsidRPr="00000000">
        <w:rPr>
          <w:u w:val="single"/>
          <w:rtl w:val="0"/>
        </w:rPr>
        <w:t xml:space="preserve">Risk Response</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t xml:space="preserve">Each risk (identified by Levels I to III) will be assigned to a Project Manager for oversight. For each risk, one of the following strategies will be selected to address it and enter it into the risk registry.</w:t>
      </w:r>
    </w:p>
    <w:p w:rsidR="00000000" w:rsidDel="00000000" w:rsidP="00000000" w:rsidRDefault="00000000" w:rsidRPr="00000000">
      <w:pPr>
        <w:pBdr/>
        <w:spacing w:line="240" w:lineRule="auto"/>
        <w:ind w:hanging="220"/>
        <w:contextualSpacing w:val="0"/>
        <w:rPr/>
      </w:pPr>
      <w:r w:rsidDel="00000000" w:rsidR="00000000" w:rsidRPr="00000000">
        <w:rPr>
          <w:rtl w:val="0"/>
        </w:rPr>
        <w:t xml:space="preserve">●  </w:t>
      </w:r>
      <w:r w:rsidDel="00000000" w:rsidR="00000000" w:rsidRPr="00000000">
        <w:rPr>
          <w:b w:val="1"/>
          <w:rtl w:val="0"/>
        </w:rPr>
        <w:t xml:space="preserve">Avoid</w:t>
      </w:r>
      <w:r w:rsidDel="00000000" w:rsidR="00000000" w:rsidRPr="00000000">
        <w:rPr>
          <w:rtl w:val="0"/>
        </w:rPr>
        <w:t xml:space="preserve"> – eliminate the threat by eliminating the cause</w:t>
      </w:r>
    </w:p>
    <w:p w:rsidR="00000000" w:rsidDel="00000000" w:rsidP="00000000" w:rsidRDefault="00000000" w:rsidRPr="00000000">
      <w:pPr>
        <w:pBdr/>
        <w:spacing w:line="240" w:lineRule="auto"/>
        <w:ind w:hanging="220"/>
        <w:contextualSpacing w:val="0"/>
        <w:rPr/>
      </w:pPr>
      <w:r w:rsidDel="00000000" w:rsidR="00000000" w:rsidRPr="00000000">
        <w:rPr>
          <w:rtl w:val="0"/>
        </w:rPr>
        <w:t xml:space="preserve">●  </w:t>
      </w:r>
      <w:r w:rsidDel="00000000" w:rsidR="00000000" w:rsidRPr="00000000">
        <w:rPr>
          <w:b w:val="1"/>
          <w:rtl w:val="0"/>
        </w:rPr>
        <w:t xml:space="preserve">Mitigate</w:t>
      </w:r>
      <w:r w:rsidDel="00000000" w:rsidR="00000000" w:rsidRPr="00000000">
        <w:rPr>
          <w:rtl w:val="0"/>
        </w:rPr>
        <w:t xml:space="preserve"> – Reduce effect of severity and/or reduce frequency.</w:t>
      </w:r>
    </w:p>
    <w:p w:rsidR="00000000" w:rsidDel="00000000" w:rsidP="00000000" w:rsidRDefault="00000000" w:rsidRPr="00000000">
      <w:pPr>
        <w:pBdr/>
        <w:spacing w:line="240" w:lineRule="auto"/>
        <w:ind w:hanging="220"/>
        <w:contextualSpacing w:val="0"/>
        <w:rPr/>
      </w:pPr>
      <w:r w:rsidDel="00000000" w:rsidR="00000000" w:rsidRPr="00000000">
        <w:rPr>
          <w:rtl w:val="0"/>
        </w:rPr>
        <w:t xml:space="preserve">●  </w:t>
      </w:r>
      <w:r w:rsidDel="00000000" w:rsidR="00000000" w:rsidRPr="00000000">
        <w:rPr>
          <w:b w:val="1"/>
          <w:rtl w:val="0"/>
        </w:rPr>
        <w:t xml:space="preserve">Accept</w:t>
      </w:r>
      <w:r w:rsidDel="00000000" w:rsidR="00000000" w:rsidRPr="00000000">
        <w:rPr>
          <w:rtl w:val="0"/>
        </w:rPr>
        <w:t xml:space="preserve"> – Do nothing.</w:t>
      </w:r>
    </w:p>
    <w:p w:rsidR="00000000" w:rsidDel="00000000" w:rsidP="00000000" w:rsidRDefault="00000000" w:rsidRPr="00000000">
      <w:pPr>
        <w:pBdr/>
        <w:spacing w:line="240" w:lineRule="auto"/>
        <w:ind w:hanging="220"/>
        <w:contextualSpacing w:val="0"/>
        <w:rPr/>
      </w:pPr>
      <w:r w:rsidDel="00000000" w:rsidR="00000000" w:rsidRPr="00000000">
        <w:rPr>
          <w:rtl w:val="0"/>
        </w:rPr>
        <w:t xml:space="preserve">●  </w:t>
      </w:r>
      <w:r w:rsidDel="00000000" w:rsidR="00000000" w:rsidRPr="00000000">
        <w:rPr>
          <w:b w:val="1"/>
          <w:rtl w:val="0"/>
        </w:rPr>
        <w:t xml:space="preserve">Transfer </w:t>
      </w:r>
      <w:r w:rsidDel="00000000" w:rsidR="00000000" w:rsidRPr="00000000">
        <w:rPr>
          <w:rtl w:val="0"/>
        </w:rPr>
        <w:t xml:space="preserve">– Transfer responsibility to a third party</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