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E1" w:rsidRDefault="008978E1" w:rsidP="005A7A31">
      <w:pPr>
        <w:spacing w:line="480" w:lineRule="auto"/>
      </w:pPr>
      <w:r>
        <w:t>Christian Wenner</w:t>
      </w:r>
    </w:p>
    <w:p w:rsidR="00331D1F" w:rsidRDefault="00137C19" w:rsidP="005A7A31">
      <w:pPr>
        <w:spacing w:line="480" w:lineRule="auto"/>
      </w:pPr>
      <w:r>
        <w:tab/>
      </w:r>
      <w:r w:rsidR="00331D1F">
        <w:t>Investing in Microsoft SharePoint will allow our</w:t>
      </w:r>
      <w:r w:rsidR="005A7A31">
        <w:t xml:space="preserve"> company to produce </w:t>
      </w:r>
      <w:r w:rsidR="004274A0">
        <w:t>a net benefit of $1.8 million over the period of</w:t>
      </w:r>
      <w:r w:rsidR="005A7A31">
        <w:t xml:space="preserve"> three years.</w:t>
      </w:r>
      <w:r w:rsidR="00331D1F">
        <w:t xml:space="preserve"> </w:t>
      </w:r>
      <w:r w:rsidR="005A7A31">
        <w:t>With SharePoint, all of our documents will be centralized and easily shared throughout the company</w:t>
      </w:r>
      <w:r w:rsidR="004274A0">
        <w:t xml:space="preserve"> on just one database</w:t>
      </w:r>
      <w:r w:rsidR="005A7A31">
        <w:t>. This tool enables employees to collaborate easily on projects and increase productivity.</w:t>
      </w:r>
    </w:p>
    <w:p w:rsidR="00137C19" w:rsidRDefault="00184C41" w:rsidP="004274A0">
      <w:pPr>
        <w:spacing w:line="480" w:lineRule="auto"/>
        <w:ind w:firstLine="720"/>
      </w:pPr>
      <w:r>
        <w:t>Microsoft SharePoint is</w:t>
      </w:r>
      <w:r w:rsidR="004274A0">
        <w:t xml:space="preserve"> a</w:t>
      </w:r>
      <w:r w:rsidR="005A7A31">
        <w:t xml:space="preserve"> platform where all of a business’s documents are centralized</w:t>
      </w:r>
      <w:r w:rsidR="004274A0">
        <w:t xml:space="preserve"> so that all of the employees have easy access to them</w:t>
      </w:r>
      <w:r>
        <w:t xml:space="preserve">. </w:t>
      </w:r>
      <w:r w:rsidR="00331D1F">
        <w:t xml:space="preserve">All of the documents are stored in a central location for teams to view and update files instantly. </w:t>
      </w:r>
      <w:r w:rsidR="004274A0">
        <w:t xml:space="preserve">This </w:t>
      </w:r>
      <w:r w:rsidR="00706154">
        <w:t>allows</w:t>
      </w:r>
      <w:r w:rsidR="004274A0">
        <w:t xml:space="preserve"> for</w:t>
      </w:r>
      <w:r w:rsidR="00706154">
        <w:t xml:space="preserve"> faster communication be</w:t>
      </w:r>
      <w:r w:rsidR="004274A0">
        <w:t>tween employees while working together on</w:t>
      </w:r>
      <w:r w:rsidR="00706154">
        <w:t xml:space="preserve"> a project. </w:t>
      </w:r>
      <w:r w:rsidR="004274A0">
        <w:t>With SharePoint, an</w:t>
      </w:r>
      <w:r w:rsidR="00706154">
        <w:t xml:space="preserve"> employee can make changes from any device that has internet access, which makes collaboration simple even if employees are far apart. Employees that have access to the documents are allowed to invite other employees</w:t>
      </w:r>
      <w:r w:rsidR="00734C73">
        <w:t>,</w:t>
      </w:r>
      <w:r w:rsidR="00706154">
        <w:t xml:space="preserve"> or outside parties to help collaborate on the project. </w:t>
      </w:r>
      <w:r w:rsidR="00734C73">
        <w:t xml:space="preserve"> This</w:t>
      </w:r>
      <w:r w:rsidR="00331D1F">
        <w:t xml:space="preserve"> </w:t>
      </w:r>
      <w:r w:rsidR="00032840">
        <w:t xml:space="preserve">will decrease the time it takes to complete a project, which will allow employees to increase their billable hours. </w:t>
      </w:r>
    </w:p>
    <w:p w:rsidR="00C0709E" w:rsidRDefault="00137C19" w:rsidP="004274A0">
      <w:pPr>
        <w:spacing w:line="480" w:lineRule="auto"/>
        <w:ind w:firstLine="720"/>
      </w:pPr>
      <w:r>
        <w:t>By investing in Microsoft SharePoint</w:t>
      </w:r>
      <w:r w:rsidR="00734C73">
        <w:t xml:space="preserve"> we can increase our billable hours from 1500 hours to 1900 hours. This will generate a yearly benefit of $700 thousand and increase our total benefit to $2.1 million </w:t>
      </w:r>
      <w:r w:rsidR="004274A0">
        <w:t xml:space="preserve">over </w:t>
      </w:r>
      <w:r w:rsidR="00734C73">
        <w:t xml:space="preserve">the next three years. Investing in SharePoint will </w:t>
      </w:r>
      <w:r w:rsidR="004274A0">
        <w:t xml:space="preserve">cost our company </w:t>
      </w:r>
      <w:r w:rsidR="00734C73">
        <w:t>$254 thousand</w:t>
      </w:r>
      <w:r w:rsidR="004274A0">
        <w:t xml:space="preserve"> within a three year period</w:t>
      </w:r>
      <w:r w:rsidR="00734C73">
        <w:t>. By implementing Microsoft</w:t>
      </w:r>
      <w:r w:rsidR="00032840">
        <w:t xml:space="preserve"> SharePoint, t</w:t>
      </w:r>
      <w:r>
        <w:t xml:space="preserve">he net benefit for our company will be $1.8 million in three years. </w:t>
      </w:r>
    </w:p>
    <w:p w:rsidR="00032840" w:rsidRDefault="00032840" w:rsidP="00032840">
      <w:pPr>
        <w:spacing w:line="480" w:lineRule="auto"/>
        <w:ind w:firstLine="720"/>
      </w:pPr>
    </w:p>
    <w:p w:rsidR="00032840" w:rsidRDefault="00032840" w:rsidP="00032840">
      <w:pPr>
        <w:spacing w:line="480" w:lineRule="auto"/>
        <w:ind w:firstLine="720"/>
      </w:pPr>
    </w:p>
    <w:p w:rsidR="00032840" w:rsidRDefault="00032840" w:rsidP="00032840">
      <w:pPr>
        <w:spacing w:line="480" w:lineRule="auto"/>
        <w:ind w:firstLine="720"/>
      </w:pPr>
    </w:p>
    <w:p w:rsidR="00032840" w:rsidRDefault="00032840" w:rsidP="00032840">
      <w:pPr>
        <w:spacing w:line="480" w:lineRule="auto"/>
        <w:ind w:firstLine="720"/>
      </w:pPr>
    </w:p>
    <w:p w:rsidR="00032840" w:rsidRDefault="00032840" w:rsidP="00032840">
      <w:pPr>
        <w:spacing w:line="480" w:lineRule="auto"/>
        <w:ind w:firstLine="720"/>
      </w:pPr>
    </w:p>
    <w:p w:rsidR="00032840" w:rsidRDefault="00032840" w:rsidP="00032840">
      <w:pPr>
        <w:spacing w:line="480" w:lineRule="auto"/>
        <w:jc w:val="center"/>
        <w:rPr>
          <w:rFonts w:ascii="Times New Roman" w:hAnsi="Times New Roman" w:cs="Times New Roman"/>
          <w:sz w:val="24"/>
        </w:rPr>
      </w:pPr>
      <w:r>
        <w:rPr>
          <w:rFonts w:ascii="Times New Roman" w:hAnsi="Times New Roman" w:cs="Times New Roman"/>
          <w:sz w:val="24"/>
        </w:rPr>
        <w:t>Works Cited</w:t>
      </w:r>
    </w:p>
    <w:p w:rsidR="00032840" w:rsidRDefault="00032840" w:rsidP="00032840">
      <w:pPr>
        <w:spacing w:after="0" w:line="480" w:lineRule="auto"/>
        <w:ind w:left="1000" w:hanging="1000"/>
      </w:pPr>
      <w:r>
        <w:rPr>
          <w:rFonts w:ascii="Times New Roman" w:hAnsi="Times New Roman" w:cs="Times New Roman"/>
          <w:sz w:val="24"/>
        </w:rPr>
        <w:t xml:space="preserve">"Advantages of SharePoint Document Libraries." </w:t>
      </w:r>
      <w:r>
        <w:rPr>
          <w:rFonts w:ascii="Times New Roman" w:hAnsi="Times New Roman" w:cs="Times New Roman"/>
          <w:i/>
          <w:sz w:val="24"/>
        </w:rPr>
        <w:t>- Windows SharePoint Services</w:t>
      </w:r>
      <w:r>
        <w:rPr>
          <w:rFonts w:ascii="Times New Roman" w:hAnsi="Times New Roman" w:cs="Times New Roman"/>
          <w:sz w:val="24"/>
        </w:rPr>
        <w:t xml:space="preserve">. Microsoft, </w:t>
      </w:r>
      <w:proofErr w:type="spellStart"/>
      <w:r>
        <w:rPr>
          <w:rFonts w:ascii="Times New Roman" w:hAnsi="Times New Roman" w:cs="Times New Roman"/>
          <w:sz w:val="24"/>
        </w:rPr>
        <w:t>n.d.</w:t>
      </w:r>
      <w:proofErr w:type="spellEnd"/>
      <w:r>
        <w:rPr>
          <w:rFonts w:ascii="Times New Roman" w:hAnsi="Times New Roman" w:cs="Times New Roman"/>
          <w:sz w:val="24"/>
        </w:rPr>
        <w:t xml:space="preserve"> Web. 08 Oct. 2014.</w:t>
      </w:r>
    </w:p>
    <w:p w:rsidR="00032840" w:rsidRDefault="00032840" w:rsidP="00032840">
      <w:pPr>
        <w:spacing w:after="0" w:line="480" w:lineRule="auto"/>
        <w:ind w:left="1000" w:hanging="1000"/>
      </w:pPr>
      <w:r>
        <w:rPr>
          <w:rFonts w:ascii="Times New Roman" w:hAnsi="Times New Roman" w:cs="Times New Roman"/>
          <w:sz w:val="24"/>
        </w:rPr>
        <w:t xml:space="preserve">"Microsoft SharePoint Hosting - Why </w:t>
      </w:r>
      <w:proofErr w:type="gramStart"/>
      <w:r>
        <w:rPr>
          <w:rFonts w:ascii="Times New Roman" w:hAnsi="Times New Roman" w:cs="Times New Roman"/>
          <w:sz w:val="24"/>
        </w:rPr>
        <w:t>SharePoint ?"</w:t>
      </w:r>
      <w:proofErr w:type="gramEnd"/>
      <w:r>
        <w:rPr>
          <w:rFonts w:ascii="Times New Roman" w:hAnsi="Times New Roman" w:cs="Times New Roman"/>
          <w:sz w:val="24"/>
        </w:rPr>
        <w:t xml:space="preserve"> </w:t>
      </w:r>
      <w:r>
        <w:rPr>
          <w:rFonts w:ascii="Times New Roman" w:hAnsi="Times New Roman" w:cs="Times New Roman"/>
          <w:i/>
          <w:sz w:val="24"/>
        </w:rPr>
        <w:t>Benefits &amp; Advantages of SharePoint Cloud Hosting</w:t>
      </w:r>
      <w:r>
        <w:rPr>
          <w:rFonts w:ascii="Times New Roman" w:hAnsi="Times New Roman" w:cs="Times New Roman"/>
          <w:sz w:val="24"/>
        </w:rPr>
        <w:t xml:space="preserve">. </w:t>
      </w:r>
      <w:proofErr w:type="spellStart"/>
      <w:proofErr w:type="gramStart"/>
      <w:r>
        <w:rPr>
          <w:rFonts w:ascii="Times New Roman" w:hAnsi="Times New Roman" w:cs="Times New Roman"/>
          <w:sz w:val="24"/>
        </w:rPr>
        <w:t>N.p</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n.d.</w:t>
      </w:r>
      <w:proofErr w:type="spellEnd"/>
      <w:r>
        <w:rPr>
          <w:rFonts w:ascii="Times New Roman" w:hAnsi="Times New Roman" w:cs="Times New Roman"/>
          <w:sz w:val="24"/>
        </w:rPr>
        <w:t xml:space="preserve"> Web. 07 Oct. 2014.</w:t>
      </w:r>
    </w:p>
    <w:p w:rsidR="00032840" w:rsidRDefault="00032840" w:rsidP="00032840">
      <w:pPr>
        <w:spacing w:after="0" w:line="480" w:lineRule="auto"/>
        <w:ind w:left="1000" w:hanging="1000"/>
      </w:pPr>
      <w:r>
        <w:rPr>
          <w:rFonts w:ascii="Times New Roman" w:hAnsi="Times New Roman" w:cs="Times New Roman"/>
          <w:sz w:val="24"/>
        </w:rPr>
        <w:t xml:space="preserve">"Microsoft-SharePoint-Overview." </w:t>
      </w:r>
      <w:r>
        <w:rPr>
          <w:rFonts w:ascii="Times New Roman" w:hAnsi="Times New Roman" w:cs="Times New Roman"/>
          <w:i/>
          <w:sz w:val="24"/>
        </w:rPr>
        <w:t>Microsoft-SharePoint-Overview</w:t>
      </w:r>
      <w:r>
        <w:rPr>
          <w:rFonts w:ascii="Times New Roman" w:hAnsi="Times New Roman" w:cs="Times New Roman"/>
          <w:sz w:val="24"/>
        </w:rPr>
        <w:t xml:space="preserve">. </w:t>
      </w:r>
      <w:proofErr w:type="spellStart"/>
      <w:proofErr w:type="gramStart"/>
      <w:r>
        <w:rPr>
          <w:rFonts w:ascii="Times New Roman" w:hAnsi="Times New Roman" w:cs="Times New Roman"/>
          <w:sz w:val="24"/>
        </w:rPr>
        <w:t>N.p</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n.d.</w:t>
      </w:r>
      <w:proofErr w:type="spellEnd"/>
      <w:r>
        <w:rPr>
          <w:rFonts w:ascii="Times New Roman" w:hAnsi="Times New Roman" w:cs="Times New Roman"/>
          <w:sz w:val="24"/>
        </w:rPr>
        <w:t xml:space="preserve"> Web. 08 Oct. 2014.</w:t>
      </w:r>
    </w:p>
    <w:p w:rsidR="00032840" w:rsidRDefault="00032840" w:rsidP="008978E1">
      <w:pPr>
        <w:spacing w:line="480" w:lineRule="auto"/>
      </w:pPr>
    </w:p>
    <w:tbl>
      <w:tblPr>
        <w:tblStyle w:val="TableGrid"/>
        <w:tblpPr w:leftFromText="180" w:rightFromText="180" w:vertAnchor="text" w:horzAnchor="margin" w:tblpY="539"/>
        <w:tblW w:w="4906" w:type="pct"/>
        <w:tblLook w:val="04A0" w:firstRow="1" w:lastRow="0" w:firstColumn="1" w:lastColumn="0" w:noHBand="0" w:noVBand="1"/>
      </w:tblPr>
      <w:tblGrid>
        <w:gridCol w:w="3599"/>
        <w:gridCol w:w="1440"/>
        <w:gridCol w:w="1438"/>
        <w:gridCol w:w="1438"/>
        <w:gridCol w:w="1259"/>
      </w:tblGrid>
      <w:tr w:rsidR="008978E1" w:rsidTr="008978E1">
        <w:tc>
          <w:tcPr>
            <w:tcW w:w="1961" w:type="pct"/>
          </w:tcPr>
          <w:p w:rsidR="008978E1" w:rsidRPr="00C06F50" w:rsidRDefault="008978E1" w:rsidP="008978E1">
            <w:pPr>
              <w:pStyle w:val="NoSpacing"/>
              <w:jc w:val="center"/>
              <w:rPr>
                <w:b/>
                <w:bCs/>
                <w:u w:val="single"/>
              </w:rPr>
            </w:pPr>
            <w:r w:rsidRPr="00C06F50">
              <w:rPr>
                <w:b/>
                <w:bCs/>
                <w:u w:val="single"/>
              </w:rPr>
              <w:t>Costs</w:t>
            </w:r>
          </w:p>
        </w:tc>
        <w:tc>
          <w:tcPr>
            <w:tcW w:w="785" w:type="pct"/>
          </w:tcPr>
          <w:p w:rsidR="008978E1" w:rsidRPr="00C06F50" w:rsidRDefault="008978E1" w:rsidP="008978E1">
            <w:pPr>
              <w:pStyle w:val="NoSpacing"/>
            </w:pPr>
            <w:r w:rsidRPr="00C06F50">
              <w:t>Year 1</w:t>
            </w:r>
          </w:p>
        </w:tc>
        <w:tc>
          <w:tcPr>
            <w:tcW w:w="784" w:type="pct"/>
          </w:tcPr>
          <w:p w:rsidR="008978E1" w:rsidRPr="00C06F50" w:rsidRDefault="008978E1" w:rsidP="008978E1">
            <w:pPr>
              <w:pStyle w:val="NoSpacing"/>
            </w:pPr>
            <w:r w:rsidRPr="00C06F50">
              <w:t>Year 2</w:t>
            </w:r>
          </w:p>
        </w:tc>
        <w:tc>
          <w:tcPr>
            <w:tcW w:w="784" w:type="pct"/>
          </w:tcPr>
          <w:p w:rsidR="008978E1" w:rsidRPr="00C06F50" w:rsidRDefault="008978E1" w:rsidP="008978E1">
            <w:pPr>
              <w:pStyle w:val="NoSpacing"/>
            </w:pPr>
            <w:r w:rsidRPr="00C06F50">
              <w:t>Year 3</w:t>
            </w:r>
          </w:p>
        </w:tc>
        <w:tc>
          <w:tcPr>
            <w:tcW w:w="687" w:type="pct"/>
          </w:tcPr>
          <w:p w:rsidR="008978E1" w:rsidRPr="00C06F50" w:rsidRDefault="008978E1" w:rsidP="008978E1">
            <w:pPr>
              <w:pStyle w:val="NoSpacing"/>
            </w:pPr>
            <w:r w:rsidRPr="00C06F50">
              <w:t>Total</w:t>
            </w:r>
          </w:p>
        </w:tc>
      </w:tr>
      <w:tr w:rsidR="008978E1" w:rsidTr="008978E1">
        <w:tc>
          <w:tcPr>
            <w:tcW w:w="1961" w:type="pct"/>
          </w:tcPr>
          <w:p w:rsidR="008978E1" w:rsidRPr="00C06F50" w:rsidRDefault="008978E1" w:rsidP="008978E1">
            <w:pPr>
              <w:pStyle w:val="NoSpacing"/>
            </w:pPr>
            <w:r w:rsidRPr="00C06F50">
              <w:t>Hardware  and Software</w:t>
            </w:r>
          </w:p>
        </w:tc>
        <w:tc>
          <w:tcPr>
            <w:tcW w:w="785" w:type="pct"/>
          </w:tcPr>
          <w:p w:rsidR="008978E1" w:rsidRPr="00C06F50" w:rsidRDefault="008978E1" w:rsidP="008978E1">
            <w:pPr>
              <w:pStyle w:val="NoSpacing"/>
            </w:pPr>
            <w:r>
              <w:t>$100,000</w:t>
            </w:r>
          </w:p>
        </w:tc>
        <w:tc>
          <w:tcPr>
            <w:tcW w:w="784" w:type="pct"/>
          </w:tcPr>
          <w:p w:rsidR="008978E1" w:rsidRPr="00C06F50" w:rsidRDefault="008978E1" w:rsidP="008978E1">
            <w:pPr>
              <w:pStyle w:val="NoSpacing"/>
            </w:pPr>
            <w:r>
              <w:t>0</w:t>
            </w:r>
          </w:p>
        </w:tc>
        <w:tc>
          <w:tcPr>
            <w:tcW w:w="784" w:type="pct"/>
          </w:tcPr>
          <w:p w:rsidR="008978E1" w:rsidRPr="00C06F50" w:rsidRDefault="008978E1" w:rsidP="008978E1">
            <w:pPr>
              <w:pStyle w:val="NoSpacing"/>
            </w:pPr>
            <w:r>
              <w:t>0</w:t>
            </w:r>
          </w:p>
        </w:tc>
        <w:tc>
          <w:tcPr>
            <w:tcW w:w="687" w:type="pct"/>
          </w:tcPr>
          <w:p w:rsidR="008978E1" w:rsidRPr="00C06F50" w:rsidRDefault="008978E1" w:rsidP="008978E1">
            <w:pPr>
              <w:pStyle w:val="NoSpacing"/>
            </w:pPr>
            <w:r>
              <w:t>$100,000</w:t>
            </w:r>
          </w:p>
        </w:tc>
      </w:tr>
      <w:tr w:rsidR="008978E1" w:rsidTr="008978E1">
        <w:tc>
          <w:tcPr>
            <w:tcW w:w="1961" w:type="pct"/>
          </w:tcPr>
          <w:p w:rsidR="008978E1" w:rsidRPr="00C06F50" w:rsidRDefault="008978E1" w:rsidP="008978E1">
            <w:pPr>
              <w:pStyle w:val="NoSpacing"/>
            </w:pPr>
            <w:r w:rsidRPr="00C06F50">
              <w:t xml:space="preserve">Maintenance </w:t>
            </w:r>
          </w:p>
        </w:tc>
        <w:tc>
          <w:tcPr>
            <w:tcW w:w="785" w:type="pct"/>
          </w:tcPr>
          <w:p w:rsidR="008978E1" w:rsidRPr="00C06F50" w:rsidRDefault="008978E1" w:rsidP="008978E1">
            <w:pPr>
              <w:pStyle w:val="NoSpacing"/>
            </w:pPr>
            <w:r>
              <w:t>$18,000</w:t>
            </w:r>
          </w:p>
        </w:tc>
        <w:tc>
          <w:tcPr>
            <w:tcW w:w="784" w:type="pct"/>
          </w:tcPr>
          <w:p w:rsidR="008978E1" w:rsidRPr="00C06F50" w:rsidRDefault="008978E1" w:rsidP="008978E1">
            <w:pPr>
              <w:pStyle w:val="NoSpacing"/>
            </w:pPr>
            <w:r>
              <w:t>$18,000</w:t>
            </w:r>
          </w:p>
        </w:tc>
        <w:tc>
          <w:tcPr>
            <w:tcW w:w="784" w:type="pct"/>
          </w:tcPr>
          <w:p w:rsidR="008978E1" w:rsidRPr="00C06F50" w:rsidRDefault="008978E1" w:rsidP="008978E1">
            <w:pPr>
              <w:pStyle w:val="NoSpacing"/>
            </w:pPr>
            <w:r>
              <w:t>$18,000</w:t>
            </w:r>
          </w:p>
        </w:tc>
        <w:tc>
          <w:tcPr>
            <w:tcW w:w="687" w:type="pct"/>
          </w:tcPr>
          <w:p w:rsidR="008978E1" w:rsidRPr="00C06F50" w:rsidRDefault="008978E1" w:rsidP="008978E1">
            <w:pPr>
              <w:pStyle w:val="NoSpacing"/>
            </w:pPr>
            <w:r>
              <w:t>$54,000</w:t>
            </w:r>
          </w:p>
        </w:tc>
      </w:tr>
      <w:tr w:rsidR="008978E1" w:rsidTr="008978E1">
        <w:tc>
          <w:tcPr>
            <w:tcW w:w="1961" w:type="pct"/>
          </w:tcPr>
          <w:p w:rsidR="008978E1" w:rsidRPr="00C06F50" w:rsidRDefault="008978E1" w:rsidP="008978E1">
            <w:pPr>
              <w:pStyle w:val="NoSpacing"/>
            </w:pPr>
            <w:r w:rsidRPr="00C06F50">
              <w:t>10% of Hours for Administration and Supp</w:t>
            </w:r>
            <w:r>
              <w:t>o</w:t>
            </w:r>
            <w:r w:rsidRPr="00C06F50">
              <w:t>rt</w:t>
            </w:r>
          </w:p>
        </w:tc>
        <w:tc>
          <w:tcPr>
            <w:tcW w:w="785" w:type="pct"/>
          </w:tcPr>
          <w:p w:rsidR="008978E1" w:rsidRPr="00C06F50" w:rsidRDefault="008978E1" w:rsidP="008978E1">
            <w:pPr>
              <w:pStyle w:val="NoSpacing"/>
            </w:pPr>
            <w:r>
              <w:t>$33,250</w:t>
            </w:r>
          </w:p>
        </w:tc>
        <w:tc>
          <w:tcPr>
            <w:tcW w:w="784" w:type="pct"/>
          </w:tcPr>
          <w:p w:rsidR="008978E1" w:rsidRPr="00C06F50" w:rsidRDefault="008978E1" w:rsidP="008978E1">
            <w:pPr>
              <w:pStyle w:val="NoSpacing"/>
            </w:pPr>
            <w:r>
              <w:t>$33,250</w:t>
            </w:r>
          </w:p>
        </w:tc>
        <w:tc>
          <w:tcPr>
            <w:tcW w:w="784" w:type="pct"/>
          </w:tcPr>
          <w:p w:rsidR="008978E1" w:rsidRPr="00C06F50" w:rsidRDefault="008978E1" w:rsidP="008978E1">
            <w:pPr>
              <w:pStyle w:val="NoSpacing"/>
            </w:pPr>
            <w:r>
              <w:t>$33,250</w:t>
            </w:r>
          </w:p>
        </w:tc>
        <w:tc>
          <w:tcPr>
            <w:tcW w:w="687" w:type="pct"/>
          </w:tcPr>
          <w:p w:rsidR="008978E1" w:rsidRPr="00C06F50" w:rsidRDefault="008978E1" w:rsidP="008978E1">
            <w:pPr>
              <w:pStyle w:val="NoSpacing"/>
            </w:pPr>
            <w:r>
              <w:t>$99,750</w:t>
            </w:r>
          </w:p>
        </w:tc>
      </w:tr>
      <w:tr w:rsidR="008978E1" w:rsidTr="008978E1">
        <w:tc>
          <w:tcPr>
            <w:tcW w:w="1961" w:type="pct"/>
          </w:tcPr>
          <w:p w:rsidR="008978E1" w:rsidRPr="00C06F50" w:rsidRDefault="008978E1" w:rsidP="008978E1">
            <w:pPr>
              <w:spacing w:line="480" w:lineRule="auto"/>
              <w:rPr>
                <w:b/>
                <w:bCs/>
              </w:rPr>
            </w:pPr>
            <w:r w:rsidRPr="00C06F50">
              <w:rPr>
                <w:b/>
                <w:bCs/>
              </w:rPr>
              <w:t>Total Costs</w:t>
            </w:r>
          </w:p>
        </w:tc>
        <w:tc>
          <w:tcPr>
            <w:tcW w:w="785" w:type="pct"/>
          </w:tcPr>
          <w:p w:rsidR="008978E1" w:rsidRDefault="008978E1" w:rsidP="008978E1">
            <w:pPr>
              <w:spacing w:line="480" w:lineRule="auto"/>
            </w:pPr>
          </w:p>
        </w:tc>
        <w:tc>
          <w:tcPr>
            <w:tcW w:w="784" w:type="pct"/>
          </w:tcPr>
          <w:p w:rsidR="008978E1" w:rsidRDefault="008978E1" w:rsidP="008978E1">
            <w:pPr>
              <w:spacing w:line="480" w:lineRule="auto"/>
            </w:pPr>
          </w:p>
        </w:tc>
        <w:tc>
          <w:tcPr>
            <w:tcW w:w="784" w:type="pct"/>
          </w:tcPr>
          <w:p w:rsidR="008978E1" w:rsidRDefault="008978E1" w:rsidP="008978E1">
            <w:pPr>
              <w:spacing w:line="480" w:lineRule="auto"/>
            </w:pPr>
          </w:p>
        </w:tc>
        <w:tc>
          <w:tcPr>
            <w:tcW w:w="687" w:type="pct"/>
          </w:tcPr>
          <w:p w:rsidR="008978E1" w:rsidRDefault="008978E1" w:rsidP="008978E1">
            <w:pPr>
              <w:spacing w:line="480" w:lineRule="auto"/>
            </w:pPr>
            <w:r>
              <w:t>$253,750</w:t>
            </w:r>
          </w:p>
        </w:tc>
      </w:tr>
      <w:tr w:rsidR="008978E1" w:rsidTr="008978E1">
        <w:tc>
          <w:tcPr>
            <w:tcW w:w="1961" w:type="pct"/>
          </w:tcPr>
          <w:p w:rsidR="008978E1" w:rsidRDefault="008978E1" w:rsidP="008978E1">
            <w:pPr>
              <w:spacing w:line="480" w:lineRule="auto"/>
            </w:pPr>
          </w:p>
        </w:tc>
        <w:tc>
          <w:tcPr>
            <w:tcW w:w="785" w:type="pct"/>
          </w:tcPr>
          <w:p w:rsidR="008978E1" w:rsidRDefault="008978E1" w:rsidP="008978E1">
            <w:pPr>
              <w:spacing w:line="480" w:lineRule="auto"/>
            </w:pPr>
          </w:p>
        </w:tc>
        <w:tc>
          <w:tcPr>
            <w:tcW w:w="784" w:type="pct"/>
          </w:tcPr>
          <w:p w:rsidR="008978E1" w:rsidRDefault="008978E1" w:rsidP="008978E1">
            <w:pPr>
              <w:spacing w:line="480" w:lineRule="auto"/>
            </w:pPr>
          </w:p>
        </w:tc>
        <w:tc>
          <w:tcPr>
            <w:tcW w:w="784" w:type="pct"/>
          </w:tcPr>
          <w:p w:rsidR="008978E1" w:rsidRDefault="008978E1" w:rsidP="008978E1">
            <w:pPr>
              <w:spacing w:line="480" w:lineRule="auto"/>
            </w:pPr>
          </w:p>
        </w:tc>
        <w:tc>
          <w:tcPr>
            <w:tcW w:w="687" w:type="pct"/>
          </w:tcPr>
          <w:p w:rsidR="008978E1" w:rsidRDefault="008978E1" w:rsidP="008978E1">
            <w:pPr>
              <w:spacing w:line="480" w:lineRule="auto"/>
            </w:pPr>
          </w:p>
        </w:tc>
      </w:tr>
      <w:tr w:rsidR="008978E1" w:rsidTr="008978E1">
        <w:tc>
          <w:tcPr>
            <w:tcW w:w="1961" w:type="pct"/>
          </w:tcPr>
          <w:p w:rsidR="008978E1" w:rsidRPr="00C06F50" w:rsidRDefault="008978E1" w:rsidP="008978E1">
            <w:pPr>
              <w:spacing w:line="480" w:lineRule="auto"/>
              <w:jc w:val="center"/>
              <w:rPr>
                <w:b/>
                <w:bCs/>
                <w:u w:val="single"/>
              </w:rPr>
            </w:pPr>
            <w:r w:rsidRPr="00C06F50">
              <w:rPr>
                <w:b/>
                <w:bCs/>
                <w:u w:val="single"/>
              </w:rPr>
              <w:t>Benefits</w:t>
            </w:r>
          </w:p>
        </w:tc>
        <w:tc>
          <w:tcPr>
            <w:tcW w:w="785" w:type="pct"/>
          </w:tcPr>
          <w:p w:rsidR="008978E1" w:rsidRDefault="008978E1" w:rsidP="008978E1">
            <w:pPr>
              <w:spacing w:line="480" w:lineRule="auto"/>
            </w:pPr>
          </w:p>
        </w:tc>
        <w:tc>
          <w:tcPr>
            <w:tcW w:w="784" w:type="pct"/>
          </w:tcPr>
          <w:p w:rsidR="008978E1" w:rsidRDefault="008978E1" w:rsidP="008978E1">
            <w:pPr>
              <w:spacing w:line="480" w:lineRule="auto"/>
            </w:pPr>
          </w:p>
        </w:tc>
        <w:tc>
          <w:tcPr>
            <w:tcW w:w="784" w:type="pct"/>
          </w:tcPr>
          <w:p w:rsidR="008978E1" w:rsidRDefault="008978E1" w:rsidP="008978E1">
            <w:pPr>
              <w:spacing w:line="480" w:lineRule="auto"/>
            </w:pPr>
          </w:p>
        </w:tc>
        <w:tc>
          <w:tcPr>
            <w:tcW w:w="687" w:type="pct"/>
          </w:tcPr>
          <w:p w:rsidR="008978E1" w:rsidRDefault="008978E1" w:rsidP="008978E1">
            <w:pPr>
              <w:spacing w:line="480" w:lineRule="auto"/>
            </w:pPr>
          </w:p>
        </w:tc>
      </w:tr>
      <w:tr w:rsidR="008978E1" w:rsidTr="008978E1">
        <w:tc>
          <w:tcPr>
            <w:tcW w:w="1961" w:type="pct"/>
          </w:tcPr>
          <w:p w:rsidR="008978E1" w:rsidRDefault="008978E1" w:rsidP="008978E1">
            <w:pPr>
              <w:spacing w:line="480" w:lineRule="auto"/>
            </w:pPr>
            <w:r>
              <w:t>Increased Billable Hours Revenue</w:t>
            </w:r>
          </w:p>
        </w:tc>
        <w:tc>
          <w:tcPr>
            <w:tcW w:w="785" w:type="pct"/>
          </w:tcPr>
          <w:p w:rsidR="008978E1" w:rsidRDefault="008978E1" w:rsidP="008978E1">
            <w:pPr>
              <w:spacing w:line="480" w:lineRule="auto"/>
            </w:pPr>
            <w:r>
              <w:t>$700,000</w:t>
            </w:r>
          </w:p>
        </w:tc>
        <w:tc>
          <w:tcPr>
            <w:tcW w:w="784" w:type="pct"/>
          </w:tcPr>
          <w:p w:rsidR="008978E1" w:rsidRDefault="008978E1" w:rsidP="008978E1">
            <w:pPr>
              <w:spacing w:line="480" w:lineRule="auto"/>
            </w:pPr>
            <w:r>
              <w:t>$700,000</w:t>
            </w:r>
          </w:p>
        </w:tc>
        <w:tc>
          <w:tcPr>
            <w:tcW w:w="784" w:type="pct"/>
          </w:tcPr>
          <w:p w:rsidR="008978E1" w:rsidRDefault="008978E1" w:rsidP="008978E1">
            <w:pPr>
              <w:spacing w:line="480" w:lineRule="auto"/>
            </w:pPr>
            <w:r>
              <w:t>$700,000</w:t>
            </w:r>
          </w:p>
        </w:tc>
        <w:tc>
          <w:tcPr>
            <w:tcW w:w="687" w:type="pct"/>
          </w:tcPr>
          <w:p w:rsidR="008978E1" w:rsidRDefault="008978E1" w:rsidP="008978E1">
            <w:pPr>
              <w:spacing w:line="480" w:lineRule="auto"/>
            </w:pPr>
            <w:r>
              <w:t>$2,100,000</w:t>
            </w:r>
          </w:p>
        </w:tc>
      </w:tr>
      <w:tr w:rsidR="008978E1" w:rsidTr="008978E1">
        <w:tc>
          <w:tcPr>
            <w:tcW w:w="1961" w:type="pct"/>
          </w:tcPr>
          <w:p w:rsidR="008978E1" w:rsidRPr="00C06F50" w:rsidRDefault="008978E1" w:rsidP="008978E1">
            <w:pPr>
              <w:spacing w:line="480" w:lineRule="auto"/>
              <w:rPr>
                <w:b/>
                <w:bCs/>
              </w:rPr>
            </w:pPr>
            <w:r w:rsidRPr="00C06F50">
              <w:rPr>
                <w:b/>
                <w:bCs/>
              </w:rPr>
              <w:t>Total Benefits</w:t>
            </w:r>
          </w:p>
        </w:tc>
        <w:tc>
          <w:tcPr>
            <w:tcW w:w="785" w:type="pct"/>
          </w:tcPr>
          <w:p w:rsidR="008978E1" w:rsidRDefault="008978E1" w:rsidP="008978E1">
            <w:pPr>
              <w:spacing w:line="480" w:lineRule="auto"/>
            </w:pPr>
          </w:p>
        </w:tc>
        <w:tc>
          <w:tcPr>
            <w:tcW w:w="784" w:type="pct"/>
          </w:tcPr>
          <w:p w:rsidR="008978E1" w:rsidRDefault="008978E1" w:rsidP="008978E1">
            <w:pPr>
              <w:spacing w:line="480" w:lineRule="auto"/>
            </w:pPr>
          </w:p>
        </w:tc>
        <w:tc>
          <w:tcPr>
            <w:tcW w:w="784" w:type="pct"/>
          </w:tcPr>
          <w:p w:rsidR="008978E1" w:rsidRDefault="008978E1" w:rsidP="008978E1">
            <w:pPr>
              <w:spacing w:line="480" w:lineRule="auto"/>
            </w:pPr>
          </w:p>
        </w:tc>
        <w:tc>
          <w:tcPr>
            <w:tcW w:w="687" w:type="pct"/>
          </w:tcPr>
          <w:p w:rsidR="008978E1" w:rsidRDefault="008978E1" w:rsidP="008978E1">
            <w:pPr>
              <w:spacing w:line="480" w:lineRule="auto"/>
            </w:pPr>
            <w:r>
              <w:t>$2,100,000</w:t>
            </w:r>
          </w:p>
        </w:tc>
      </w:tr>
      <w:tr w:rsidR="008978E1" w:rsidTr="008978E1">
        <w:tc>
          <w:tcPr>
            <w:tcW w:w="1961" w:type="pct"/>
          </w:tcPr>
          <w:p w:rsidR="008978E1" w:rsidRDefault="008978E1" w:rsidP="008978E1">
            <w:pPr>
              <w:spacing w:line="480" w:lineRule="auto"/>
            </w:pPr>
          </w:p>
        </w:tc>
        <w:tc>
          <w:tcPr>
            <w:tcW w:w="785" w:type="pct"/>
          </w:tcPr>
          <w:p w:rsidR="008978E1" w:rsidRDefault="008978E1" w:rsidP="008978E1">
            <w:pPr>
              <w:spacing w:line="480" w:lineRule="auto"/>
            </w:pPr>
          </w:p>
        </w:tc>
        <w:tc>
          <w:tcPr>
            <w:tcW w:w="784" w:type="pct"/>
          </w:tcPr>
          <w:p w:rsidR="008978E1" w:rsidRDefault="008978E1" w:rsidP="008978E1">
            <w:pPr>
              <w:spacing w:line="480" w:lineRule="auto"/>
            </w:pPr>
          </w:p>
        </w:tc>
        <w:tc>
          <w:tcPr>
            <w:tcW w:w="784" w:type="pct"/>
          </w:tcPr>
          <w:p w:rsidR="008978E1" w:rsidRDefault="008978E1" w:rsidP="008978E1">
            <w:pPr>
              <w:spacing w:line="480" w:lineRule="auto"/>
            </w:pPr>
          </w:p>
        </w:tc>
        <w:tc>
          <w:tcPr>
            <w:tcW w:w="687" w:type="pct"/>
          </w:tcPr>
          <w:p w:rsidR="008978E1" w:rsidRDefault="008978E1" w:rsidP="008978E1">
            <w:pPr>
              <w:spacing w:line="480" w:lineRule="auto"/>
            </w:pPr>
          </w:p>
        </w:tc>
      </w:tr>
      <w:tr w:rsidR="008978E1" w:rsidTr="008978E1">
        <w:tc>
          <w:tcPr>
            <w:tcW w:w="1961" w:type="pct"/>
          </w:tcPr>
          <w:p w:rsidR="008978E1" w:rsidRPr="00C06F50" w:rsidRDefault="008978E1" w:rsidP="008978E1">
            <w:pPr>
              <w:spacing w:line="480" w:lineRule="auto"/>
              <w:rPr>
                <w:b/>
                <w:bCs/>
                <w:i/>
                <w:iCs/>
              </w:rPr>
            </w:pPr>
            <w:r w:rsidRPr="00C06F50">
              <w:rPr>
                <w:b/>
                <w:bCs/>
                <w:i/>
                <w:iCs/>
              </w:rPr>
              <w:t>Net Benefits</w:t>
            </w:r>
          </w:p>
        </w:tc>
        <w:tc>
          <w:tcPr>
            <w:tcW w:w="785" w:type="pct"/>
          </w:tcPr>
          <w:p w:rsidR="008978E1" w:rsidRDefault="008978E1" w:rsidP="008978E1">
            <w:pPr>
              <w:spacing w:line="480" w:lineRule="auto"/>
            </w:pPr>
          </w:p>
        </w:tc>
        <w:tc>
          <w:tcPr>
            <w:tcW w:w="784" w:type="pct"/>
          </w:tcPr>
          <w:p w:rsidR="008978E1" w:rsidRDefault="008978E1" w:rsidP="008978E1">
            <w:pPr>
              <w:spacing w:line="480" w:lineRule="auto"/>
            </w:pPr>
          </w:p>
        </w:tc>
        <w:tc>
          <w:tcPr>
            <w:tcW w:w="784" w:type="pct"/>
          </w:tcPr>
          <w:p w:rsidR="008978E1" w:rsidRDefault="008978E1" w:rsidP="008978E1">
            <w:pPr>
              <w:spacing w:line="480" w:lineRule="auto"/>
            </w:pPr>
          </w:p>
        </w:tc>
        <w:tc>
          <w:tcPr>
            <w:tcW w:w="687" w:type="pct"/>
          </w:tcPr>
          <w:p w:rsidR="008978E1" w:rsidRDefault="008978E1" w:rsidP="008978E1">
            <w:pPr>
              <w:spacing w:line="480" w:lineRule="auto"/>
            </w:pPr>
            <w:r>
              <w:t>$1,846,250</w:t>
            </w:r>
          </w:p>
        </w:tc>
      </w:tr>
    </w:tbl>
    <w:p w:rsidR="00032840" w:rsidRDefault="00032840" w:rsidP="00032840">
      <w:pPr>
        <w:spacing w:line="480" w:lineRule="auto"/>
        <w:ind w:firstLine="720"/>
      </w:pPr>
    </w:p>
    <w:p w:rsidR="00032840" w:rsidRDefault="00032840" w:rsidP="00032840">
      <w:pPr>
        <w:spacing w:line="480" w:lineRule="auto"/>
        <w:ind w:firstLine="720"/>
      </w:pPr>
    </w:p>
    <w:p w:rsidR="00032840" w:rsidRDefault="00032840" w:rsidP="00032840">
      <w:pPr>
        <w:spacing w:line="480" w:lineRule="auto"/>
        <w:ind w:firstLine="720"/>
      </w:pPr>
    </w:p>
    <w:p w:rsidR="00C06F50" w:rsidRDefault="00C06F50" w:rsidP="008978E1">
      <w:pPr>
        <w:spacing w:line="480" w:lineRule="auto"/>
      </w:pPr>
      <w:bookmarkStart w:id="0" w:name="_GoBack"/>
      <w:bookmarkEnd w:id="0"/>
    </w:p>
    <w:sectPr w:rsidR="00C0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19"/>
    <w:rsid w:val="00024A2E"/>
    <w:rsid w:val="00032840"/>
    <w:rsid w:val="00137C19"/>
    <w:rsid w:val="00184C41"/>
    <w:rsid w:val="00331D1F"/>
    <w:rsid w:val="004274A0"/>
    <w:rsid w:val="005A7A31"/>
    <w:rsid w:val="00706154"/>
    <w:rsid w:val="00734C73"/>
    <w:rsid w:val="008978E1"/>
    <w:rsid w:val="00C0436F"/>
    <w:rsid w:val="00C06F50"/>
    <w:rsid w:val="00C070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27C7F-124F-4A9E-B19F-94FDC2BD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Local</dc:creator>
  <cp:keywords/>
  <dc:description/>
  <cp:lastModifiedBy>Christian Robert Wenner</cp:lastModifiedBy>
  <cp:revision>3</cp:revision>
  <dcterms:created xsi:type="dcterms:W3CDTF">2014-10-23T18:04:00Z</dcterms:created>
  <dcterms:modified xsi:type="dcterms:W3CDTF">2014-10-23T18:06:00Z</dcterms:modified>
</cp:coreProperties>
</file>