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b w:val="1"/>
        </w:rPr>
      </w:pPr>
      <w:r w:rsidDel="00000000" w:rsidR="00000000" w:rsidRPr="00000000">
        <w:rPr>
          <w:b w:val="1"/>
          <w:rtl w:val="0"/>
        </w:rPr>
        <w:t xml:space="preserve">Flash Research Assignment: SharePoint</w:t>
      </w:r>
    </w:p>
    <w:p w:rsidR="00000000" w:rsidDel="00000000" w:rsidP="00000000" w:rsidRDefault="00000000" w:rsidRPr="00000000">
      <w:pPr>
        <w:spacing w:line="276" w:lineRule="auto"/>
        <w:contextualSpacing w:val="0"/>
        <w:jc w:val="center"/>
        <w:rPr>
          <w:b w:val="1"/>
        </w:rPr>
      </w:pPr>
      <w:r w:rsidDel="00000000" w:rsidR="00000000" w:rsidRPr="00000000">
        <w:rPr>
          <w:rtl w:val="0"/>
        </w:rPr>
      </w:r>
    </w:p>
    <w:p w:rsidR="00000000" w:rsidDel="00000000" w:rsidP="00000000" w:rsidRDefault="00000000" w:rsidRPr="00000000">
      <w:pPr>
        <w:spacing w:line="276" w:lineRule="auto"/>
        <w:ind w:firstLine="720"/>
        <w:contextualSpacing w:val="0"/>
        <w:rPr/>
      </w:pPr>
      <w:r w:rsidDel="00000000" w:rsidR="00000000" w:rsidRPr="00000000">
        <w:rPr>
          <w:rtl w:val="0"/>
        </w:rPr>
        <w:t xml:space="preserve">Our company has the opportunity to seize a net benefit of nearly $1.85 million over the next three years by investing in Microsoft SharePoint. Microsoft SharePoint is a cloud-based server that allows users to share password protected documents and files instantly. Our current team of 10 PMPs currently produces 15,000 billable hours per year; converting to SharePoint will increase PMPs’ billable hours by 4,000 per year, resulting in higher profits in the future. </w:t>
      </w:r>
    </w:p>
    <w:p w:rsidR="00000000" w:rsidDel="00000000" w:rsidP="00000000" w:rsidRDefault="00000000" w:rsidRPr="00000000">
      <w:pPr>
        <w:spacing w:line="276" w:lineRule="auto"/>
        <w:ind w:firstLine="720"/>
        <w:contextualSpacing w:val="0"/>
        <w:rPr/>
      </w:pPr>
      <w:r w:rsidDel="00000000" w:rsidR="00000000" w:rsidRPr="00000000">
        <w:rPr>
          <w:rtl w:val="0"/>
        </w:rPr>
        <w:t xml:space="preserve">The key capability of SharePoint is improved efficiency for our project managers, resulting in increased production. Project managers and their clients are able to edit and revise multiple documents in one shared location simultaneously, rather than transferring them individually. By implementing SharePoint, employees can reduce the down time spent uploading and transferring files. Conclusively, utilizing SharePoint and its capabilities, it would increase the PMPs billable hours 19,000 per year.</w:t>
      </w:r>
    </w:p>
    <w:p w:rsidR="00000000" w:rsidDel="00000000" w:rsidP="00000000" w:rsidRDefault="00000000" w:rsidRPr="00000000">
      <w:pPr>
        <w:spacing w:line="276" w:lineRule="auto"/>
        <w:ind w:firstLine="720"/>
        <w:contextualSpacing w:val="0"/>
        <w:rPr/>
      </w:pPr>
      <w:r w:rsidDel="00000000" w:rsidR="00000000" w:rsidRPr="00000000">
        <w:rPr>
          <w:rtl w:val="0"/>
        </w:rPr>
        <w:t xml:space="preserve">This implementation will realize a three-year benefit of $2.1 million through the increase of our PMPs’ billable hours. The three-year cost for installation, hardware, maintenance, and support is $253,750. Ultimately, our three-year net benefit would total approximately $1.85 million.</w:t>
      </w:r>
    </w:p>
    <w:p w:rsidR="00000000" w:rsidDel="00000000" w:rsidP="00000000" w:rsidRDefault="00000000" w:rsidRPr="00000000">
      <w:pPr>
        <w:spacing w:line="276" w:lineRule="auto"/>
        <w:ind w:firstLine="720"/>
        <w:contextualSpacing w:val="0"/>
        <w:rPr/>
      </w:pPr>
      <w:r w:rsidDel="00000000" w:rsidR="00000000" w:rsidRPr="00000000">
        <w:rPr>
          <w:rtl w:val="0"/>
        </w:rPr>
      </w:r>
    </w:p>
    <w:p w:rsidR="00000000" w:rsidDel="00000000" w:rsidP="00000000" w:rsidRDefault="00000000" w:rsidRPr="00000000">
      <w:pPr>
        <w:spacing w:line="276" w:lineRule="auto"/>
        <w:ind w:lef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1"/>
        <w:tblW w:w="90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1620"/>
        <w:gridCol w:w="1620"/>
        <w:gridCol w:w="1530"/>
        <w:gridCol w:w="1710"/>
        <w:tblGridChange w:id="0">
          <w:tblGrid>
            <w:gridCol w:w="2610"/>
            <w:gridCol w:w="1620"/>
            <w:gridCol w:w="1620"/>
            <w:gridCol w:w="1530"/>
            <w:gridCol w:w="1710"/>
          </w:tblGrid>
        </w:tblGridChange>
      </w:tblGrid>
      <w:tr>
        <w:trPr>
          <w:trHeight w:val="300" w:hRule="atLeast"/>
        </w:trPr>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Benefits</w:t>
            </w:r>
          </w:p>
        </w:tc>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Year 1</w:t>
            </w:r>
          </w:p>
        </w:tc>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Year 2</w:t>
            </w:r>
          </w:p>
        </w:tc>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Year 3</w:t>
            </w:r>
          </w:p>
        </w:tc>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Total</w:t>
            </w:r>
          </w:p>
        </w:tc>
      </w:tr>
      <w:tr>
        <w:trPr>
          <w:trHeight w:val="300" w:hRule="atLeast"/>
        </w:trPr>
        <w:tc>
          <w:tcPr/>
          <w:p w:rsidR="00000000" w:rsidDel="00000000" w:rsidP="00000000" w:rsidRDefault="00000000" w:rsidRPr="00000000">
            <w:pPr>
              <w:contextualSpacing w:val="0"/>
              <w:rPr>
                <w:color w:val="000000"/>
              </w:rPr>
            </w:pPr>
            <w:r w:rsidDel="00000000" w:rsidR="00000000" w:rsidRPr="00000000">
              <w:rPr>
                <w:color w:val="000000"/>
                <w:rtl w:val="0"/>
              </w:rPr>
              <w:t xml:space="preserve">Increase billable hours</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$700,000.00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$700,000.00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$700,000.00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$2,100,000.00 </w:t>
            </w:r>
          </w:p>
        </w:tc>
      </w:tr>
      <w:tr>
        <w:trPr>
          <w:trHeight w:val="300" w:hRule="atLeast"/>
        </w:trPr>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Total Benefits</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$700,000.00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$700,000.00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$700,000.00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$2,100,000.00 </w:t>
            </w:r>
          </w:p>
        </w:tc>
      </w:tr>
      <w:tr>
        <w:trPr>
          <w:trHeight w:val="300" w:hRule="atLeast"/>
        </w:trPr>
        <w:tc>
          <w:tcPr/>
          <w:p w:rsidR="00000000" w:rsidDel="00000000" w:rsidP="00000000" w:rsidRDefault="00000000" w:rsidRPr="00000000">
            <w:pPr>
              <w:contextualSpacing w:val="0"/>
              <w:rPr>
                <w:b w:val="1"/>
              </w:rPr>
            </w:pPr>
            <w:r w:rsidDel="00000000" w:rsidR="00000000" w:rsidRPr="00000000">
              <w:rPr>
                <w:rtl w:val="0"/>
              </w:rPr>
            </w:r>
          </w:p>
        </w:tc>
        <w:tc>
          <w:tcPr/>
          <w:p w:rsidR="00000000" w:rsidDel="00000000" w:rsidP="00000000" w:rsidRDefault="00000000" w:rsidRPr="00000000">
            <w:pPr>
              <w:contextualSpacing w:val="0"/>
              <w:jc w:val="right"/>
              <w:rPr>
                <w:color w:val="000000"/>
              </w:rPr>
            </w:pPr>
            <w:r w:rsidDel="00000000" w:rsidR="00000000" w:rsidRPr="00000000">
              <w:rPr>
                <w:rtl w:val="0"/>
              </w:rPr>
            </w:r>
          </w:p>
        </w:tc>
        <w:tc>
          <w:tcPr/>
          <w:p w:rsidR="00000000" w:rsidDel="00000000" w:rsidP="00000000" w:rsidRDefault="00000000" w:rsidRPr="00000000">
            <w:pPr>
              <w:contextualSpacing w:val="0"/>
              <w:jc w:val="right"/>
              <w:rPr>
                <w:color w:val="000000"/>
              </w:rPr>
            </w:pPr>
            <w:r w:rsidDel="00000000" w:rsidR="00000000" w:rsidRPr="00000000">
              <w:rPr>
                <w:rtl w:val="0"/>
              </w:rPr>
            </w:r>
          </w:p>
        </w:tc>
        <w:tc>
          <w:tcPr/>
          <w:p w:rsidR="00000000" w:rsidDel="00000000" w:rsidP="00000000" w:rsidRDefault="00000000" w:rsidRPr="00000000">
            <w:pPr>
              <w:contextualSpacing w:val="0"/>
              <w:jc w:val="right"/>
              <w:rPr>
                <w:color w:val="000000"/>
              </w:rPr>
            </w:pPr>
            <w:r w:rsidDel="00000000" w:rsidR="00000000" w:rsidRPr="00000000">
              <w:rPr>
                <w:rtl w:val="0"/>
              </w:rPr>
            </w:r>
          </w:p>
        </w:tc>
        <w:tc>
          <w:tcPr/>
          <w:p w:rsidR="00000000" w:rsidDel="00000000" w:rsidP="00000000" w:rsidRDefault="00000000" w:rsidRPr="00000000">
            <w:pPr>
              <w:contextualSpacing w:val="0"/>
              <w:jc w:val="right"/>
              <w:rPr>
                <w:color w:val="000000"/>
              </w:rPr>
            </w:pPr>
            <w:r w:rsidDel="00000000" w:rsidR="00000000" w:rsidRPr="00000000">
              <w:rPr>
                <w:rtl w:val="0"/>
              </w:rPr>
            </w:r>
          </w:p>
        </w:tc>
      </w:tr>
      <w:tr>
        <w:trPr>
          <w:trHeight w:val="300" w:hRule="atLeast"/>
        </w:trPr>
        <w:tc>
          <w:tcPr/>
          <w:p w:rsidR="00000000" w:rsidDel="00000000" w:rsidP="00000000" w:rsidRDefault="00000000" w:rsidRPr="00000000">
            <w:pPr>
              <w:contextualSpacing w:val="0"/>
              <w:rPr>
                <w:b w:val="1"/>
              </w:rPr>
            </w:pPr>
            <w:r w:rsidDel="00000000" w:rsidR="00000000" w:rsidRPr="00000000">
              <w:rPr>
                <w:b w:val="1"/>
                <w:rtl w:val="0"/>
              </w:rPr>
              <w:t xml:space="preserve">Net Benefits</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$548,750.00</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$648,750.00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$648,750.00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$1,846,250.00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2"/>
        <w:tblW w:w="85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1620"/>
        <w:gridCol w:w="1530"/>
        <w:gridCol w:w="1440"/>
        <w:gridCol w:w="1620"/>
        <w:tblGridChange w:id="0">
          <w:tblGrid>
            <w:gridCol w:w="2358"/>
            <w:gridCol w:w="1620"/>
            <w:gridCol w:w="1530"/>
            <w:gridCol w:w="1440"/>
            <w:gridCol w:w="1620"/>
          </w:tblGrid>
        </w:tblGridChange>
      </w:tblGrid>
      <w:tr>
        <w:trPr>
          <w:trHeight w:val="300" w:hRule="atLeast"/>
        </w:trPr>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Costs</w:t>
            </w:r>
          </w:p>
        </w:tc>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Year 1</w:t>
            </w:r>
          </w:p>
        </w:tc>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Year 2</w:t>
            </w:r>
          </w:p>
        </w:tc>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Year 3</w:t>
            </w:r>
          </w:p>
        </w:tc>
        <w:tc>
          <w:tcPr/>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Total</w:t>
            </w:r>
          </w:p>
        </w:tc>
      </w:tr>
      <w:tr>
        <w:trPr>
          <w:trHeight w:val="300" w:hRule="atLeast"/>
        </w:trPr>
        <w:tc>
          <w:tcPr/>
          <w:p w:rsidR="00000000" w:rsidDel="00000000" w:rsidP="00000000" w:rsidRDefault="00000000" w:rsidRPr="00000000">
            <w:pPr>
              <w:contextualSpacing w:val="0"/>
              <w:rPr>
                <w:color w:val="000000"/>
              </w:rPr>
            </w:pPr>
            <w:r w:rsidDel="00000000" w:rsidR="00000000" w:rsidRPr="00000000">
              <w:rPr>
                <w:color w:val="000000"/>
                <w:rtl w:val="0"/>
              </w:rPr>
              <w:t xml:space="preserve">Hardware/software</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$100,000.00 </w:t>
            </w:r>
          </w:p>
        </w:tc>
        <w:tc>
          <w:tcPr/>
          <w:p w:rsidR="00000000" w:rsidDel="00000000" w:rsidP="00000000" w:rsidRDefault="00000000" w:rsidRPr="00000000">
            <w:pPr>
              <w:contextualSpacing w:val="0"/>
              <w:jc w:val="center"/>
              <w:rPr>
                <w:color w:val="000000"/>
              </w:rPr>
            </w:pPr>
            <w:r w:rsidDel="00000000" w:rsidR="00000000" w:rsidRPr="00000000">
              <w:rPr>
                <w:color w:val="000000"/>
                <w:rtl w:val="0"/>
              </w:rPr>
              <w:t xml:space="preserve"> - </w:t>
            </w:r>
          </w:p>
        </w:tc>
        <w:tc>
          <w:tcPr/>
          <w:p w:rsidR="00000000" w:rsidDel="00000000" w:rsidP="00000000" w:rsidRDefault="00000000" w:rsidRPr="00000000">
            <w:pPr>
              <w:contextualSpacing w:val="0"/>
              <w:jc w:val="center"/>
              <w:rPr>
                <w:color w:val="000000"/>
              </w:rPr>
            </w:pPr>
            <w:r w:rsidDel="00000000" w:rsidR="00000000" w:rsidRPr="00000000">
              <w:rPr>
                <w:color w:val="000000"/>
                <w:rtl w:val="0"/>
              </w:rPr>
              <w:t xml:space="preserve">-</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$100,000.00 </w:t>
            </w:r>
          </w:p>
        </w:tc>
      </w:tr>
      <w:tr>
        <w:trPr>
          <w:trHeight w:val="300" w:hRule="atLeast"/>
        </w:trPr>
        <w:tc>
          <w:tcPr/>
          <w:p w:rsidR="00000000" w:rsidDel="00000000" w:rsidP="00000000" w:rsidRDefault="00000000" w:rsidRPr="00000000">
            <w:pPr>
              <w:contextualSpacing w:val="0"/>
              <w:rPr>
                <w:color w:val="000000"/>
              </w:rPr>
            </w:pPr>
            <w:r w:rsidDel="00000000" w:rsidR="00000000" w:rsidRPr="00000000">
              <w:rPr>
                <w:color w:val="000000"/>
                <w:rtl w:val="0"/>
              </w:rPr>
              <w:t xml:space="preserve">Maintenance</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$18,000.00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$18,000.00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$18,000.00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$54,000.00 </w:t>
            </w:r>
          </w:p>
        </w:tc>
      </w:tr>
      <w:tr>
        <w:trPr>
          <w:trHeight w:val="300" w:hRule="atLeast"/>
        </w:trPr>
        <w:tc>
          <w:tcPr/>
          <w:p w:rsidR="00000000" w:rsidDel="00000000" w:rsidP="00000000" w:rsidRDefault="00000000" w:rsidRPr="00000000">
            <w:pPr>
              <w:contextualSpacing w:val="0"/>
              <w:rPr>
                <w:color w:val="000000"/>
              </w:rPr>
            </w:pPr>
            <w:r w:rsidDel="00000000" w:rsidR="00000000" w:rsidRPr="00000000">
              <w:rPr>
                <w:color w:val="000000"/>
                <w:rtl w:val="0"/>
              </w:rPr>
              <w:t xml:space="preserve">Support</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$33,250.00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$33,250.00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$33,250.00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$99,750.00 </w:t>
            </w:r>
          </w:p>
        </w:tc>
      </w:tr>
      <w:tr>
        <w:trPr>
          <w:trHeight w:val="300" w:hRule="atLeast"/>
        </w:trPr>
        <w:tc>
          <w:tcPr/>
          <w:p w:rsidR="00000000" w:rsidDel="00000000" w:rsidP="00000000" w:rsidRDefault="00000000" w:rsidRPr="00000000">
            <w:pPr>
              <w:contextualSpacing w:val="0"/>
              <w:rPr>
                <w:b w:val="1"/>
              </w:rPr>
            </w:pPr>
            <w:r w:rsidDel="00000000" w:rsidR="00000000" w:rsidRPr="00000000">
              <w:rPr>
                <w:b w:val="1"/>
                <w:rtl w:val="0"/>
              </w:rPr>
              <w:t xml:space="preserve">Total Costs</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$151,250.00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$51,250.00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$51,250.00 </w:t>
            </w:r>
          </w:p>
        </w:tc>
        <w:tc>
          <w:tcPr/>
          <w:p w:rsidR="00000000" w:rsidDel="00000000" w:rsidP="00000000" w:rsidRDefault="00000000" w:rsidRPr="00000000">
            <w:pPr>
              <w:contextualSpacing w:val="0"/>
              <w:jc w:val="right"/>
              <w:rPr>
                <w:color w:val="000000"/>
              </w:rPr>
            </w:pPr>
            <w:r w:rsidDel="00000000" w:rsidR="00000000" w:rsidRPr="00000000">
              <w:rPr>
                <w:color w:val="000000"/>
                <w:rtl w:val="0"/>
              </w:rPr>
              <w:t xml:space="preserve"> $253,750.00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Works Cited</w:t>
      </w:r>
    </w:p>
    <w:p w:rsidR="00000000" w:rsidDel="00000000" w:rsidP="00000000" w:rsidRDefault="00000000" w:rsidRPr="00000000">
      <w:pPr>
        <w:ind w:left="720" w:hanging="720"/>
        <w:contextualSpacing w:val="0"/>
        <w:rPr/>
      </w:pPr>
      <w:r w:rsidDel="00000000" w:rsidR="00000000" w:rsidRPr="00000000">
        <w:rPr>
          <w:rtl w:val="0"/>
        </w:rPr>
      </w:r>
    </w:p>
    <w:p w:rsidR="00000000" w:rsidDel="00000000" w:rsidP="00000000" w:rsidRDefault="00000000" w:rsidRPr="00000000">
      <w:pPr>
        <w:ind w:left="720" w:hanging="720"/>
        <w:contextualSpacing w:val="0"/>
        <w:rPr/>
      </w:pPr>
      <w:r w:rsidDel="00000000" w:rsidR="00000000" w:rsidRPr="00000000">
        <w:rPr>
          <w:rtl w:val="0"/>
        </w:rPr>
        <w:t xml:space="preserve">Leverdier, Guillaume. “Top Benefits of Using a SharePoint Intranet for Corporations.” </w:t>
      </w:r>
      <w:r w:rsidDel="00000000" w:rsidR="00000000" w:rsidRPr="00000000">
        <w:rPr>
          <w:i w:val="1"/>
          <w:rtl w:val="0"/>
        </w:rPr>
        <w:t xml:space="preserve">Sharegate</w:t>
      </w:r>
      <w:r w:rsidDel="00000000" w:rsidR="00000000" w:rsidRPr="00000000">
        <w:rPr>
          <w:rtl w:val="0"/>
        </w:rPr>
        <w:t xml:space="preserve">, en.share-gate.com/blog/benefits-sharepoint-intranet.</w:t>
      </w:r>
    </w:p>
    <w:p w:rsidR="00000000" w:rsidDel="00000000" w:rsidP="00000000" w:rsidRDefault="00000000" w:rsidRPr="00000000">
      <w:pPr>
        <w:ind w:left="720" w:hanging="720"/>
        <w:contextualSpacing w:val="0"/>
        <w:rPr/>
      </w:pPr>
      <w:r w:rsidDel="00000000" w:rsidR="00000000" w:rsidRPr="00000000">
        <w:rPr>
          <w:rtl w:val="0"/>
        </w:rPr>
        <w:t xml:space="preserve"> Solutions, NH Learning. “Top 10 Business Benefits of Microsoft SharePoint.” </w:t>
      </w:r>
      <w:r w:rsidDel="00000000" w:rsidR="00000000" w:rsidRPr="00000000">
        <w:rPr>
          <w:i w:val="1"/>
          <w:rtl w:val="0"/>
        </w:rPr>
        <w:t xml:space="preserve">New Horizon Computer Learning Centers</w:t>
      </w:r>
      <w:r w:rsidDel="00000000" w:rsidR="00000000" w:rsidRPr="00000000">
        <w:rPr>
          <w:rtl w:val="0"/>
        </w:rPr>
        <w:t xml:space="preserve">, New Horizons, 2 Feb. 2017, blog.nhlearningsolutions.com/blog/top-10-business-benefits-of-microsoft-sharepoint.</w:t>
      </w:r>
    </w:p>
    <w:p w:rsidR="00000000" w:rsidDel="00000000" w:rsidP="00000000" w:rsidRDefault="00000000" w:rsidRPr="00000000">
      <w:pPr>
        <w:ind w:left="720" w:hanging="720"/>
        <w:contextualSpacing w:val="0"/>
        <w:rPr/>
      </w:pPr>
      <w:r w:rsidDel="00000000" w:rsidR="00000000" w:rsidRPr="00000000">
        <w:rPr>
          <w:rtl w:val="0"/>
        </w:rPr>
        <w:t xml:space="preserve">Wheeler, Ashley. “6 Benefits of Using Microsoft SharePoint.” </w:t>
      </w:r>
      <w:r w:rsidDel="00000000" w:rsidR="00000000" w:rsidRPr="00000000">
        <w:rPr>
          <w:i w:val="1"/>
          <w:rtl w:val="0"/>
        </w:rPr>
        <w:t xml:space="preserve">Phoenix TS</w:t>
      </w:r>
      <w:r w:rsidDel="00000000" w:rsidR="00000000" w:rsidRPr="00000000">
        <w:rPr>
          <w:rtl w:val="0"/>
        </w:rPr>
        <w:t xml:space="preserve">, Phoenix TS, 23 Nov. 2016, phoenixts.com/blog/benefits-of-microsoft-sharepoint/.</w:t>
      </w:r>
    </w:p>
    <w:p w:rsidR="00000000" w:rsidDel="00000000" w:rsidP="00000000" w:rsidRDefault="00000000" w:rsidRPr="00000000">
      <w:pPr>
        <w:ind w:left="720" w:hanging="720"/>
        <w:contextualSpacing w:val="0"/>
        <w:rPr/>
      </w:pPr>
      <w:bookmarkStart w:colFirst="0" w:colLast="0" w:name="_gjdgxs" w:id="0"/>
      <w:bookmarkEnd w:id="0"/>
      <w:r w:rsidDel="00000000" w:rsidR="00000000" w:rsidRPr="00000000">
        <w:rPr>
          <w:rtl w:val="0"/>
        </w:rPr>
      </w:r>
    </w:p>
    <w:sectPr>
      <w:headerReference r:id="rId6" w:type="default"/>
      <w:headerReference r:id="rId7"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Christopher Kutzler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