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B4" w:rsidRDefault="00781AB4" w:rsidP="0078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 Yu Dong</w:t>
      </w:r>
    </w:p>
    <w:p w:rsidR="00781AB4" w:rsidRDefault="00781AB4" w:rsidP="0078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2501</w:t>
      </w:r>
    </w:p>
    <w:p w:rsidR="00781AB4" w:rsidRPr="00781AB4" w:rsidRDefault="00781AB4" w:rsidP="00781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Flash Research Assignment: </w:t>
      </w:r>
      <w:r>
        <w:rPr>
          <w:rFonts w:asciiTheme="majorBidi" w:hAnsiTheme="majorBidi" w:cstheme="majorBidi"/>
          <w:sz w:val="24"/>
          <w:szCs w:val="24"/>
        </w:rPr>
        <w:t>Virtualization and Cloud Computing</w:t>
      </w:r>
    </w:p>
    <w:p w:rsidR="00781AB4" w:rsidRDefault="00781AB4" w:rsidP="0031098C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781AB4">
        <w:rPr>
          <w:rFonts w:ascii="Times New Roman" w:hAnsi="Times New Roman" w:cs="Times New Roman"/>
          <w:sz w:val="24"/>
          <w:szCs w:val="24"/>
        </w:rPr>
        <w:t xml:space="preserve">By implementing the virtualization technology, our company can gain </w:t>
      </w:r>
      <w:r w:rsidR="0031098C">
        <w:rPr>
          <w:rFonts w:ascii="Times New Roman" w:hAnsi="Times New Roman" w:cs="Times New Roman"/>
          <w:sz w:val="24"/>
          <w:szCs w:val="24"/>
        </w:rPr>
        <w:t xml:space="preserve">a </w:t>
      </w:r>
      <w:r w:rsidR="00CB747C">
        <w:rPr>
          <w:rFonts w:ascii="Times New Roman" w:hAnsi="Times New Roman" w:cs="Times New Roman"/>
          <w:sz w:val="24"/>
          <w:szCs w:val="24"/>
        </w:rPr>
        <w:t xml:space="preserve">three year </w:t>
      </w:r>
      <w:r w:rsidR="0031098C">
        <w:rPr>
          <w:rFonts w:ascii="Times New Roman" w:hAnsi="Times New Roman" w:cs="Times New Roman"/>
          <w:sz w:val="24"/>
          <w:szCs w:val="24"/>
        </w:rPr>
        <w:t>net benefit of $9,200</w:t>
      </w:r>
      <w:r w:rsidR="00CB747C">
        <w:rPr>
          <w:rFonts w:ascii="Times New Roman" w:hAnsi="Times New Roman" w:cs="Times New Roman"/>
          <w:sz w:val="24"/>
          <w:szCs w:val="24"/>
        </w:rPr>
        <w:t>,</w:t>
      </w:r>
      <w:r w:rsidR="0031098C">
        <w:rPr>
          <w:rFonts w:ascii="Times New Roman" w:hAnsi="Times New Roman" w:cs="Times New Roman"/>
          <w:sz w:val="24"/>
          <w:szCs w:val="24"/>
        </w:rPr>
        <w:t>000.</w:t>
      </w:r>
      <w:r w:rsidR="00CB747C">
        <w:rPr>
          <w:rFonts w:ascii="Times New Roman" w:hAnsi="Times New Roman" w:cs="Times New Roman"/>
          <w:sz w:val="24"/>
          <w:szCs w:val="24"/>
        </w:rPr>
        <w:t xml:space="preserve"> </w:t>
      </w:r>
      <w:r w:rsidR="0031098C">
        <w:rPr>
          <w:rFonts w:ascii="Times New Roman" w:hAnsi="Times New Roman" w:cs="Times New Roman"/>
          <w:sz w:val="24"/>
          <w:szCs w:val="24"/>
        </w:rPr>
        <w:t xml:space="preserve">Moreover, by consolidate 10 physical servers onto a single virtual machine server, </w:t>
      </w:r>
      <w:r w:rsidR="0001633A">
        <w:rPr>
          <w:rFonts w:ascii="Times New Roman" w:hAnsi="Times New Roman" w:cs="Times New Roman"/>
          <w:sz w:val="24"/>
          <w:szCs w:val="24"/>
        </w:rPr>
        <w:t>v</w:t>
      </w:r>
      <w:r w:rsidR="0031098C">
        <w:rPr>
          <w:rFonts w:ascii="Times New Roman" w:hAnsi="Times New Roman" w:cs="Times New Roman"/>
          <w:sz w:val="24"/>
          <w:szCs w:val="24"/>
        </w:rPr>
        <w:t xml:space="preserve">irtualization </w:t>
      </w:r>
      <w:r w:rsidR="0031098C" w:rsidRPr="00781AB4">
        <w:rPr>
          <w:rFonts w:ascii="Times New Roman" w:hAnsi="Times New Roman" w:cs="Times New Roman"/>
          <w:sz w:val="24"/>
          <w:szCs w:val="24"/>
        </w:rPr>
        <w:t>can bring tre</w:t>
      </w:r>
      <w:r w:rsidR="0031098C">
        <w:rPr>
          <w:rFonts w:ascii="Times New Roman" w:hAnsi="Times New Roman" w:cs="Times New Roman"/>
          <w:sz w:val="24"/>
          <w:szCs w:val="24"/>
        </w:rPr>
        <w:t>mendous benefits which includes</w:t>
      </w:r>
      <w:r w:rsidR="0031098C">
        <w:rPr>
          <w:rFonts w:ascii="Times New Roman" w:hAnsi="Times New Roman" w:cs="Times New Roman"/>
          <w:sz w:val="24"/>
          <w:szCs w:val="24"/>
        </w:rPr>
        <w:t xml:space="preserve"> </w:t>
      </w:r>
      <w:r w:rsidRPr="00781AB4">
        <w:rPr>
          <w:rFonts w:ascii="Times New Roman" w:hAnsi="Times New Roman" w:cs="Times New Roman"/>
          <w:sz w:val="24"/>
          <w:szCs w:val="24"/>
        </w:rPr>
        <w:t xml:space="preserve">bringing server utilization </w:t>
      </w:r>
      <w:r w:rsidR="00CB747C">
        <w:rPr>
          <w:rFonts w:ascii="Times New Roman" w:hAnsi="Times New Roman" w:cs="Times New Roman"/>
          <w:sz w:val="24"/>
          <w:szCs w:val="24"/>
        </w:rPr>
        <w:t>capacity, providing optimization</w:t>
      </w:r>
      <w:r w:rsidRPr="00781AB4">
        <w:rPr>
          <w:rFonts w:ascii="Times New Roman" w:hAnsi="Times New Roman" w:cs="Times New Roman"/>
          <w:sz w:val="24"/>
          <w:szCs w:val="24"/>
        </w:rPr>
        <w:t xml:space="preserve"> and integrate data d</w:t>
      </w:r>
      <w:r w:rsidR="00CB747C">
        <w:rPr>
          <w:rFonts w:ascii="Times New Roman" w:hAnsi="Times New Roman" w:cs="Times New Roman"/>
          <w:sz w:val="24"/>
          <w:szCs w:val="24"/>
        </w:rPr>
        <w:t xml:space="preserve">elivery. Therefore, investing money </w:t>
      </w:r>
      <w:r w:rsidRPr="00781AB4">
        <w:rPr>
          <w:rFonts w:ascii="Times New Roman" w:hAnsi="Times New Roman" w:cs="Times New Roman"/>
          <w:sz w:val="24"/>
          <w:szCs w:val="24"/>
        </w:rPr>
        <w:t>in virtualization technolo</w:t>
      </w:r>
      <w:r w:rsidR="00544869">
        <w:rPr>
          <w:rFonts w:ascii="Times New Roman" w:hAnsi="Times New Roman" w:cs="Times New Roman"/>
          <w:sz w:val="24"/>
          <w:szCs w:val="24"/>
        </w:rPr>
        <w:t>gy is a wise decision to reduce</w:t>
      </w:r>
      <w:r w:rsidR="0001633A">
        <w:rPr>
          <w:rFonts w:ascii="Times New Roman" w:hAnsi="Times New Roman" w:cs="Times New Roman"/>
          <w:sz w:val="24"/>
          <w:szCs w:val="24"/>
        </w:rPr>
        <w:t xml:space="preserve"> </w:t>
      </w:r>
      <w:r w:rsidRPr="00781AB4">
        <w:rPr>
          <w:rFonts w:ascii="Times New Roman" w:hAnsi="Times New Roman" w:cs="Times New Roman"/>
          <w:sz w:val="24"/>
          <w:szCs w:val="24"/>
        </w:rPr>
        <w:t>cost</w:t>
      </w:r>
      <w:r w:rsidR="00544869">
        <w:rPr>
          <w:rFonts w:ascii="Times New Roman" w:hAnsi="Times New Roman" w:cs="Times New Roman"/>
          <w:sz w:val="24"/>
          <w:szCs w:val="24"/>
        </w:rPr>
        <w:t>s</w:t>
      </w:r>
      <w:r w:rsidRPr="00781AB4">
        <w:rPr>
          <w:rFonts w:ascii="Times New Roman" w:hAnsi="Times New Roman" w:cs="Times New Roman"/>
          <w:sz w:val="24"/>
          <w:szCs w:val="24"/>
        </w:rPr>
        <w:t xml:space="preserve"> and improve the capacity</w:t>
      </w:r>
      <w:r w:rsidR="00CB747C">
        <w:rPr>
          <w:rFonts w:ascii="Times New Roman" w:hAnsi="Times New Roman" w:cs="Times New Roman"/>
          <w:sz w:val="24"/>
          <w:szCs w:val="24"/>
        </w:rPr>
        <w:t>.</w:t>
      </w:r>
      <w:r w:rsidRPr="00781A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F7F" w:rsidRDefault="002D6D7D" w:rsidP="00A12F7F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781AB4">
        <w:rPr>
          <w:rFonts w:ascii="Times New Roman" w:hAnsi="Times New Roman" w:cs="Times New Roman"/>
          <w:sz w:val="24"/>
          <w:szCs w:val="24"/>
        </w:rPr>
        <w:t xml:space="preserve">Virtualization technology is the abstraction of the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781AB4">
        <w:rPr>
          <w:rFonts w:ascii="Times New Roman" w:hAnsi="Times New Roman" w:cs="Times New Roman"/>
          <w:sz w:val="24"/>
          <w:szCs w:val="24"/>
        </w:rPr>
        <w:t>resources that makes the physical nature and boundaries of those resources from users</w:t>
      </w:r>
      <w:r w:rsidR="00931DC7">
        <w:rPr>
          <w:rFonts w:ascii="Times New Roman" w:hAnsi="Times New Roman" w:cs="Times New Roman"/>
          <w:sz w:val="24"/>
          <w:szCs w:val="24"/>
        </w:rPr>
        <w:t>, such as running multiple operating systems and applications on a single physical server</w:t>
      </w:r>
      <w:r>
        <w:rPr>
          <w:rFonts w:ascii="Times New Roman" w:hAnsi="Times New Roman" w:cs="Times New Roman"/>
          <w:sz w:val="24"/>
          <w:szCs w:val="24"/>
        </w:rPr>
        <w:t xml:space="preserve"> (Gartner). </w:t>
      </w:r>
      <w:r w:rsidR="00781AB4" w:rsidRPr="00781AB4">
        <w:rPr>
          <w:rFonts w:ascii="Times New Roman" w:hAnsi="Times New Roman" w:cs="Times New Roman"/>
          <w:sz w:val="24"/>
          <w:szCs w:val="24"/>
        </w:rPr>
        <w:t>Currently, we have app</w:t>
      </w:r>
      <w:r w:rsidR="00931DC7">
        <w:rPr>
          <w:rFonts w:ascii="Times New Roman" w:hAnsi="Times New Roman" w:cs="Times New Roman"/>
          <w:sz w:val="24"/>
          <w:szCs w:val="24"/>
        </w:rPr>
        <w:t>roximately 1,000 servers in</w:t>
      </w:r>
      <w:r w:rsidR="00CB747C">
        <w:rPr>
          <w:rFonts w:ascii="Times New Roman" w:hAnsi="Times New Roman" w:cs="Times New Roman"/>
          <w:sz w:val="24"/>
          <w:szCs w:val="24"/>
        </w:rPr>
        <w:t xml:space="preserve"> the</w:t>
      </w:r>
      <w:r w:rsidR="00931DC7">
        <w:rPr>
          <w:rFonts w:ascii="Times New Roman" w:hAnsi="Times New Roman" w:cs="Times New Roman"/>
          <w:sz w:val="24"/>
          <w:szCs w:val="24"/>
        </w:rPr>
        <w:t xml:space="preserve"> data center </w:t>
      </w:r>
      <w:r w:rsidR="00781AB4" w:rsidRPr="00781AB4">
        <w:rPr>
          <w:rFonts w:ascii="Times New Roman" w:hAnsi="Times New Roman" w:cs="Times New Roman"/>
          <w:sz w:val="24"/>
          <w:szCs w:val="24"/>
        </w:rPr>
        <w:t xml:space="preserve">and </w:t>
      </w:r>
      <w:r w:rsidR="00A12F7F">
        <w:rPr>
          <w:rFonts w:ascii="Times New Roman" w:hAnsi="Times New Roman" w:cs="Times New Roman"/>
          <w:sz w:val="24"/>
          <w:szCs w:val="24"/>
        </w:rPr>
        <w:t xml:space="preserve">these </w:t>
      </w:r>
      <w:r w:rsidR="00781AB4" w:rsidRPr="00781AB4">
        <w:rPr>
          <w:rFonts w:ascii="Times New Roman" w:hAnsi="Times New Roman" w:cs="Times New Roman"/>
          <w:sz w:val="24"/>
          <w:szCs w:val="24"/>
        </w:rPr>
        <w:t>se</w:t>
      </w:r>
      <w:r w:rsidR="00A12F7F">
        <w:rPr>
          <w:rFonts w:ascii="Times New Roman" w:hAnsi="Times New Roman" w:cs="Times New Roman"/>
          <w:sz w:val="24"/>
          <w:szCs w:val="24"/>
        </w:rPr>
        <w:t xml:space="preserve">rvers contain one </w:t>
      </w:r>
      <w:r w:rsidR="00CB747C">
        <w:rPr>
          <w:rFonts w:ascii="Times New Roman" w:hAnsi="Times New Roman" w:cs="Times New Roman"/>
          <w:sz w:val="24"/>
          <w:szCs w:val="24"/>
        </w:rPr>
        <w:t>server</w:t>
      </w:r>
      <w:r w:rsidR="00A12F7F">
        <w:rPr>
          <w:rFonts w:ascii="Times New Roman" w:hAnsi="Times New Roman" w:cs="Times New Roman"/>
          <w:sz w:val="24"/>
          <w:szCs w:val="24"/>
        </w:rPr>
        <w:t xml:space="preserve"> per machine</w:t>
      </w:r>
      <w:r w:rsidR="00931DC7">
        <w:rPr>
          <w:rFonts w:ascii="Times New Roman" w:hAnsi="Times New Roman" w:cs="Times New Roman"/>
          <w:sz w:val="24"/>
          <w:szCs w:val="24"/>
        </w:rPr>
        <w:t>.</w:t>
      </w:r>
      <w:r w:rsidR="00CB747C">
        <w:rPr>
          <w:rFonts w:ascii="Times New Roman" w:hAnsi="Times New Roman" w:cs="Times New Roman"/>
          <w:sz w:val="24"/>
          <w:szCs w:val="24"/>
        </w:rPr>
        <w:t xml:space="preserve"> </w:t>
      </w:r>
      <w:r w:rsidR="00A12F7F">
        <w:rPr>
          <w:rFonts w:ascii="Times New Roman" w:hAnsi="Times New Roman" w:cs="Times New Roman"/>
          <w:sz w:val="24"/>
          <w:szCs w:val="24"/>
        </w:rPr>
        <w:t>By installing</w:t>
      </w:r>
      <w:r w:rsidR="00781AB4" w:rsidRPr="00781AB4">
        <w:rPr>
          <w:rFonts w:ascii="Times New Roman" w:hAnsi="Times New Roman" w:cs="Times New Roman"/>
          <w:sz w:val="24"/>
          <w:szCs w:val="24"/>
        </w:rPr>
        <w:t xml:space="preserve"> the virtualization technology, it allows </w:t>
      </w:r>
      <w:r w:rsidR="00931DC7">
        <w:rPr>
          <w:rFonts w:ascii="Times New Roman" w:hAnsi="Times New Roman" w:cs="Times New Roman"/>
          <w:sz w:val="24"/>
          <w:szCs w:val="24"/>
        </w:rPr>
        <w:t xml:space="preserve">us to consolidate 10 physical servers onto a single </w:t>
      </w:r>
      <w:r w:rsidR="00A12F7F">
        <w:rPr>
          <w:rFonts w:ascii="Times New Roman" w:hAnsi="Times New Roman" w:cs="Times New Roman"/>
          <w:sz w:val="24"/>
          <w:szCs w:val="24"/>
        </w:rPr>
        <w:t xml:space="preserve">virtual machine server and </w:t>
      </w:r>
      <w:r w:rsidR="00A12F7F">
        <w:rPr>
          <w:rFonts w:ascii="Times New Roman" w:hAnsi="Times New Roman" w:cs="Times New Roman"/>
          <w:sz w:val="24"/>
          <w:szCs w:val="24"/>
        </w:rPr>
        <w:t>80% of our servers could run under VMware</w:t>
      </w:r>
      <w:r w:rsidR="00A12F7F">
        <w:rPr>
          <w:rFonts w:ascii="Times New Roman" w:hAnsi="Times New Roman" w:cs="Times New Roman"/>
          <w:sz w:val="24"/>
          <w:szCs w:val="24"/>
        </w:rPr>
        <w:t xml:space="preserve">. With virtualization technology, we can </w:t>
      </w:r>
      <w:r w:rsidR="007535B7">
        <w:rPr>
          <w:rFonts w:ascii="Times New Roman" w:hAnsi="Times New Roman" w:cs="Times New Roman"/>
          <w:sz w:val="24"/>
          <w:szCs w:val="24"/>
        </w:rPr>
        <w:t>simplify</w:t>
      </w:r>
      <w:r w:rsidR="00A12F7F">
        <w:rPr>
          <w:rFonts w:ascii="Times New Roman" w:hAnsi="Times New Roman" w:cs="Times New Roman"/>
          <w:sz w:val="24"/>
          <w:szCs w:val="24"/>
        </w:rPr>
        <w:t xml:space="preserve"> </w:t>
      </w:r>
      <w:r w:rsidR="007535B7">
        <w:rPr>
          <w:rFonts w:ascii="Times New Roman" w:hAnsi="Times New Roman" w:cs="Times New Roman"/>
          <w:sz w:val="24"/>
          <w:szCs w:val="24"/>
        </w:rPr>
        <w:t>transform</w:t>
      </w:r>
      <w:r w:rsidR="00A12F7F">
        <w:rPr>
          <w:rFonts w:ascii="Times New Roman" w:hAnsi="Times New Roman" w:cs="Times New Roman"/>
          <w:sz w:val="24"/>
          <w:szCs w:val="24"/>
        </w:rPr>
        <w:t xml:space="preserve"> 1,000 servers into 280 servers which includes 200 traditional servers and 80 virtualization servers.   </w:t>
      </w:r>
    </w:p>
    <w:p w:rsidR="00781AB4" w:rsidRPr="00361120" w:rsidRDefault="00544869" w:rsidP="00361120">
      <w:pPr>
        <w:spacing w:line="480" w:lineRule="auto"/>
        <w:ind w:firstLine="4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Without virtualization, </w:t>
      </w:r>
      <w:r w:rsidR="007535B7">
        <w:rPr>
          <w:rFonts w:asciiTheme="majorBidi" w:hAnsiTheme="majorBidi" w:cstheme="majorBidi"/>
          <w:sz w:val="24"/>
          <w:szCs w:val="24"/>
        </w:rPr>
        <w:t xml:space="preserve">there will be an </w:t>
      </w:r>
      <w:r w:rsidR="001F6F67" w:rsidRPr="001F6F67">
        <w:rPr>
          <w:rFonts w:asciiTheme="majorBidi" w:hAnsiTheme="majorBidi" w:cstheme="majorBidi"/>
          <w:sz w:val="24"/>
          <w:szCs w:val="24"/>
        </w:rPr>
        <w:t xml:space="preserve">$8,000 </w:t>
      </w:r>
      <w:r w:rsidR="007535B7">
        <w:rPr>
          <w:rFonts w:asciiTheme="majorBidi" w:hAnsiTheme="majorBidi" w:cstheme="majorBidi"/>
          <w:sz w:val="24"/>
          <w:szCs w:val="24"/>
        </w:rPr>
        <w:t xml:space="preserve">cost </w:t>
      </w:r>
      <w:r w:rsidR="001F6F67" w:rsidRPr="001F6F67">
        <w:rPr>
          <w:rFonts w:asciiTheme="majorBidi" w:hAnsiTheme="majorBidi" w:cstheme="majorBidi"/>
          <w:sz w:val="24"/>
          <w:szCs w:val="24"/>
        </w:rPr>
        <w:t>per server and with $2,000 per year on maintenance for these servers. The total over a three year period without virtualization would be $14,000,000</w:t>
      </w:r>
      <w:r w:rsidR="001F6F6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By implement the virtualization technology, we can significantly reduce unnecessary costs. </w:t>
      </w:r>
      <w:r w:rsidR="00CB747C" w:rsidRPr="001F6F67">
        <w:rPr>
          <w:rFonts w:asciiTheme="majorBidi" w:hAnsiTheme="majorBidi" w:cstheme="majorBidi"/>
          <w:sz w:val="24"/>
          <w:szCs w:val="24"/>
        </w:rPr>
        <w:t xml:space="preserve">The installation for visualization technology will cost a </w:t>
      </w:r>
      <w:r w:rsidR="00E07DE1" w:rsidRPr="001F6F67">
        <w:rPr>
          <w:rFonts w:asciiTheme="majorBidi" w:hAnsiTheme="majorBidi" w:cstheme="majorBidi"/>
          <w:sz w:val="24"/>
          <w:szCs w:val="24"/>
        </w:rPr>
        <w:t xml:space="preserve">total </w:t>
      </w:r>
      <w:r w:rsidR="00B8726F" w:rsidRPr="001F6F67">
        <w:rPr>
          <w:rFonts w:asciiTheme="majorBidi" w:hAnsiTheme="majorBidi" w:cstheme="majorBidi"/>
          <w:sz w:val="24"/>
          <w:szCs w:val="24"/>
        </w:rPr>
        <w:t>$4,800,000</w:t>
      </w:r>
      <w:r w:rsidR="007535B7">
        <w:rPr>
          <w:rFonts w:asciiTheme="majorBidi" w:hAnsiTheme="majorBidi" w:cstheme="majorBidi"/>
          <w:sz w:val="24"/>
          <w:szCs w:val="24"/>
        </w:rPr>
        <w:t xml:space="preserve"> in three years period </w:t>
      </w:r>
      <w:r w:rsidR="00361120">
        <w:rPr>
          <w:rFonts w:asciiTheme="majorBidi" w:hAnsiTheme="majorBidi" w:cstheme="majorBidi"/>
          <w:sz w:val="24"/>
          <w:szCs w:val="24"/>
        </w:rPr>
        <w:t xml:space="preserve">which includes $640,000 fees for maintenance and technical support per year. </w:t>
      </w:r>
      <w:r>
        <w:rPr>
          <w:rFonts w:asciiTheme="majorBidi" w:hAnsiTheme="majorBidi" w:cstheme="majorBidi"/>
          <w:sz w:val="24"/>
          <w:szCs w:val="24"/>
        </w:rPr>
        <w:t>This will result in a total $14,000,000</w:t>
      </w:r>
      <w:r w:rsidR="00781AB4" w:rsidRPr="001F6F67">
        <w:rPr>
          <w:rFonts w:asciiTheme="majorBidi" w:hAnsiTheme="majorBidi" w:cstheme="majorBidi"/>
          <w:sz w:val="24"/>
          <w:szCs w:val="24"/>
        </w:rPr>
        <w:t xml:space="preserve"> benefit</w:t>
      </w:r>
      <w:r w:rsidR="00B8726F" w:rsidRPr="001F6F67">
        <w:rPr>
          <w:rFonts w:asciiTheme="majorBidi" w:hAnsiTheme="majorBidi" w:cstheme="majorBidi"/>
          <w:sz w:val="24"/>
          <w:szCs w:val="24"/>
        </w:rPr>
        <w:t>s</w:t>
      </w:r>
      <w:r w:rsidR="00781AB4" w:rsidRPr="001F6F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over a period of three years and</w:t>
      </w:r>
      <w:r w:rsidR="001F6F67">
        <w:rPr>
          <w:rFonts w:asciiTheme="majorBidi" w:hAnsiTheme="majorBidi" w:cstheme="majorBidi"/>
          <w:sz w:val="24"/>
          <w:szCs w:val="24"/>
        </w:rPr>
        <w:t xml:space="preserve"> by comparing the result, </w:t>
      </w:r>
      <w:r w:rsidR="00781AB4" w:rsidRPr="001F6F67">
        <w:rPr>
          <w:rFonts w:asciiTheme="majorBidi" w:hAnsiTheme="majorBidi" w:cstheme="majorBidi"/>
          <w:sz w:val="24"/>
          <w:szCs w:val="24"/>
        </w:rPr>
        <w:t>implement</w:t>
      </w:r>
      <w:r w:rsidR="00CB747C" w:rsidRPr="001F6F67">
        <w:rPr>
          <w:rFonts w:asciiTheme="majorBidi" w:hAnsiTheme="majorBidi" w:cstheme="majorBidi"/>
          <w:sz w:val="24"/>
          <w:szCs w:val="24"/>
        </w:rPr>
        <w:t>ing</w:t>
      </w:r>
      <w:r w:rsidR="00781AB4" w:rsidRPr="001F6F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781AB4" w:rsidRPr="001F6F67">
        <w:rPr>
          <w:rFonts w:asciiTheme="majorBidi" w:hAnsiTheme="majorBidi" w:cstheme="majorBidi"/>
          <w:sz w:val="24"/>
          <w:szCs w:val="24"/>
        </w:rPr>
        <w:t xml:space="preserve">virtualization technology can </w:t>
      </w:r>
      <w:r>
        <w:rPr>
          <w:rFonts w:asciiTheme="majorBidi" w:hAnsiTheme="majorBidi" w:cstheme="majorBidi"/>
          <w:sz w:val="24"/>
          <w:szCs w:val="24"/>
        </w:rPr>
        <w:t>help us gain a net benefit of $9,2</w:t>
      </w:r>
      <w:r w:rsidR="00781AB4" w:rsidRPr="001F6F67">
        <w:rPr>
          <w:rFonts w:asciiTheme="majorBidi" w:hAnsiTheme="majorBidi" w:cstheme="majorBidi"/>
          <w:sz w:val="24"/>
          <w:szCs w:val="24"/>
        </w:rPr>
        <w:t>00,000 over a three-year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980"/>
        <w:gridCol w:w="1899"/>
        <w:gridCol w:w="1669"/>
        <w:gridCol w:w="1416"/>
      </w:tblGrid>
      <w:tr w:rsidR="00781AB4" w:rsidTr="00AC40E8">
        <w:tc>
          <w:tcPr>
            <w:tcW w:w="9350" w:type="dxa"/>
            <w:gridSpan w:val="5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Table Without Virtualization Technology</w:t>
            </w:r>
          </w:p>
        </w:tc>
      </w:tr>
      <w:tr w:rsidR="00781AB4" w:rsidTr="00AC40E8">
        <w:tc>
          <w:tcPr>
            <w:tcW w:w="2156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201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73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Year 3</w:t>
            </w:r>
          </w:p>
        </w:tc>
        <w:tc>
          <w:tcPr>
            <w:tcW w:w="135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Total</w:t>
            </w:r>
          </w:p>
        </w:tc>
      </w:tr>
      <w:tr w:rsidR="00781AB4" w:rsidTr="00AC40E8">
        <w:tc>
          <w:tcPr>
            <w:tcW w:w="2156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non-virtualized servers</w:t>
            </w:r>
          </w:p>
        </w:tc>
        <w:tc>
          <w:tcPr>
            <w:tcW w:w="2085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$8,000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201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$0</w:t>
            </w:r>
          </w:p>
        </w:tc>
        <w:tc>
          <w:tcPr>
            <w:tcW w:w="173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$0</w:t>
            </w:r>
          </w:p>
        </w:tc>
        <w:tc>
          <w:tcPr>
            <w:tcW w:w="135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$8,000,000</w:t>
            </w:r>
          </w:p>
        </w:tc>
      </w:tr>
      <w:tr w:rsidR="00781AB4" w:rsidTr="00AC40E8">
        <w:tc>
          <w:tcPr>
            <w:tcW w:w="2156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Non-virtualization system support</w:t>
            </w:r>
          </w:p>
        </w:tc>
        <w:tc>
          <w:tcPr>
            <w:tcW w:w="2085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>000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201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$2,000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73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$2,000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35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$6,000,000</w:t>
            </w:r>
          </w:p>
        </w:tc>
      </w:tr>
      <w:tr w:rsidR="00781AB4" w:rsidTr="00AC40E8">
        <w:tc>
          <w:tcPr>
            <w:tcW w:w="2156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Total Fees</w:t>
            </w:r>
          </w:p>
        </w:tc>
        <w:tc>
          <w:tcPr>
            <w:tcW w:w="2085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$10,000,000</w:t>
            </w:r>
          </w:p>
        </w:tc>
        <w:tc>
          <w:tcPr>
            <w:tcW w:w="201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$2,000,000</w:t>
            </w:r>
          </w:p>
        </w:tc>
        <w:tc>
          <w:tcPr>
            <w:tcW w:w="173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$2,000,000</w:t>
            </w:r>
          </w:p>
        </w:tc>
        <w:tc>
          <w:tcPr>
            <w:tcW w:w="135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$14,000,000</w:t>
            </w:r>
          </w:p>
        </w:tc>
      </w:tr>
    </w:tbl>
    <w:p w:rsidR="00781AB4" w:rsidRDefault="00781AB4" w:rsidP="00781AB4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73"/>
        <w:gridCol w:w="1839"/>
        <w:gridCol w:w="1567"/>
        <w:gridCol w:w="1469"/>
      </w:tblGrid>
      <w:tr w:rsidR="00781AB4" w:rsidTr="00AC40E8">
        <w:tc>
          <w:tcPr>
            <w:tcW w:w="9350" w:type="dxa"/>
            <w:gridSpan w:val="5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with Virtualization Technology</w:t>
            </w:r>
          </w:p>
        </w:tc>
      </w:tr>
      <w:tr w:rsidR="00781AB4" w:rsidTr="00AC40E8"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1 </w:t>
            </w:r>
          </w:p>
        </w:tc>
        <w:tc>
          <w:tcPr>
            <w:tcW w:w="192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618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Year 3</w:t>
            </w:r>
          </w:p>
        </w:tc>
        <w:tc>
          <w:tcPr>
            <w:tcW w:w="148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Total</w:t>
            </w:r>
          </w:p>
        </w:tc>
      </w:tr>
      <w:tr w:rsidR="00781AB4" w:rsidTr="00AC40E8"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 non-virtualized servers</w:t>
            </w:r>
          </w:p>
        </w:tc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$1,600,000</w:t>
            </w:r>
          </w:p>
        </w:tc>
        <w:tc>
          <w:tcPr>
            <w:tcW w:w="192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618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$0</w:t>
            </w:r>
          </w:p>
        </w:tc>
        <w:tc>
          <w:tcPr>
            <w:tcW w:w="148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$1,600,000</w:t>
            </w:r>
          </w:p>
        </w:tc>
      </w:tr>
      <w:tr w:rsidR="00781AB4" w:rsidTr="00AC40E8"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virtualized machine servers</w:t>
            </w:r>
          </w:p>
        </w:tc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$1,280,000</w:t>
            </w:r>
          </w:p>
        </w:tc>
        <w:tc>
          <w:tcPr>
            <w:tcW w:w="192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$0</w:t>
            </w:r>
          </w:p>
        </w:tc>
        <w:tc>
          <w:tcPr>
            <w:tcW w:w="1618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$0</w:t>
            </w:r>
          </w:p>
        </w:tc>
        <w:tc>
          <w:tcPr>
            <w:tcW w:w="148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$1,280,000</w:t>
            </w:r>
          </w:p>
        </w:tc>
      </w:tr>
      <w:tr w:rsidR="00781AB4" w:rsidTr="00AC40E8"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Both System Support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</w:t>
            </w:r>
            <w:r>
              <w:rPr>
                <w:rFonts w:ascii="Times New Roman" w:hAnsi="Times New Roman" w:cs="Times New Roman"/>
              </w:rPr>
              <w:t>640,000</w:t>
            </w:r>
          </w:p>
        </w:tc>
        <w:tc>
          <w:tcPr>
            <w:tcW w:w="192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$640,000</w:t>
            </w:r>
          </w:p>
        </w:tc>
        <w:tc>
          <w:tcPr>
            <w:tcW w:w="1618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$640,000</w:t>
            </w:r>
          </w:p>
        </w:tc>
        <w:tc>
          <w:tcPr>
            <w:tcW w:w="148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$1,920,000</w:t>
            </w:r>
          </w:p>
        </w:tc>
      </w:tr>
      <w:tr w:rsidR="00781AB4" w:rsidTr="00AC40E8"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Fees</w:t>
            </w:r>
          </w:p>
        </w:tc>
        <w:tc>
          <w:tcPr>
            <w:tcW w:w="216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$3,520,000</w:t>
            </w:r>
          </w:p>
        </w:tc>
        <w:tc>
          <w:tcPr>
            <w:tcW w:w="1921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$640,000</w:t>
            </w:r>
          </w:p>
        </w:tc>
        <w:tc>
          <w:tcPr>
            <w:tcW w:w="1618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</w:t>
            </w:r>
            <w:r>
              <w:rPr>
                <w:rFonts w:ascii="Times New Roman" w:hAnsi="Times New Roman" w:cs="Times New Roman"/>
              </w:rPr>
              <w:t>640,000</w:t>
            </w:r>
          </w:p>
        </w:tc>
        <w:tc>
          <w:tcPr>
            <w:tcW w:w="1489" w:type="dxa"/>
          </w:tcPr>
          <w:p w:rsidR="00781AB4" w:rsidRDefault="00781AB4" w:rsidP="00AC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$4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>800,000</w:t>
            </w:r>
          </w:p>
        </w:tc>
      </w:tr>
    </w:tbl>
    <w:p w:rsidR="00781AB4" w:rsidRDefault="00781AB4" w:rsidP="00781AB4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1810"/>
        <w:gridCol w:w="1810"/>
        <w:gridCol w:w="1714"/>
        <w:gridCol w:w="1603"/>
      </w:tblGrid>
      <w:tr w:rsidR="00781AB4" w:rsidTr="00544869">
        <w:tc>
          <w:tcPr>
            <w:tcW w:w="9016" w:type="dxa"/>
            <w:gridSpan w:val="5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Result of Implementation </w:t>
            </w:r>
          </w:p>
        </w:tc>
      </w:tr>
      <w:tr w:rsidR="00781AB4" w:rsidTr="00544869">
        <w:tc>
          <w:tcPr>
            <w:tcW w:w="2079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10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Year 1</w:t>
            </w:r>
          </w:p>
        </w:tc>
        <w:tc>
          <w:tcPr>
            <w:tcW w:w="1810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Year 2</w:t>
            </w:r>
          </w:p>
        </w:tc>
        <w:tc>
          <w:tcPr>
            <w:tcW w:w="1714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Year 3</w:t>
            </w:r>
          </w:p>
        </w:tc>
        <w:tc>
          <w:tcPr>
            <w:tcW w:w="1603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Total</w:t>
            </w:r>
          </w:p>
        </w:tc>
      </w:tr>
      <w:tr w:rsidR="00781AB4" w:rsidTr="00544869">
        <w:tc>
          <w:tcPr>
            <w:tcW w:w="2079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Cost</w:t>
            </w:r>
            <w:r w:rsidRPr="00DB4EDB">
              <w:rPr>
                <w:rFonts w:asciiTheme="majorBidi" w:hAnsiTheme="majorBidi" w:cstheme="majorBidi"/>
              </w:rPr>
              <w:t xml:space="preserve"> for implement virtualized technology</w:t>
            </w:r>
          </w:p>
        </w:tc>
        <w:tc>
          <w:tcPr>
            <w:tcW w:w="1810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$3,520,000</w:t>
            </w:r>
          </w:p>
        </w:tc>
        <w:tc>
          <w:tcPr>
            <w:tcW w:w="1810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$640,000</w:t>
            </w:r>
          </w:p>
        </w:tc>
        <w:tc>
          <w:tcPr>
            <w:tcW w:w="1714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 w:hint="eastAsia"/>
              </w:rPr>
              <w:t>$</w:t>
            </w:r>
            <w:r>
              <w:rPr>
                <w:rFonts w:ascii="Times New Roman" w:hAnsi="Times New Roman" w:cs="Times New Roman"/>
              </w:rPr>
              <w:t>640,000</w:t>
            </w:r>
          </w:p>
        </w:tc>
        <w:tc>
          <w:tcPr>
            <w:tcW w:w="1603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$4,800,000</w:t>
            </w:r>
          </w:p>
        </w:tc>
      </w:tr>
      <w:tr w:rsidR="00781AB4" w:rsidTr="00544869">
        <w:tc>
          <w:tcPr>
            <w:tcW w:w="2079" w:type="dxa"/>
          </w:tcPr>
          <w:p w:rsidR="00781AB4" w:rsidRPr="00DB4EDB" w:rsidRDefault="00781AB4" w:rsidP="0036112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Benefit</w:t>
            </w:r>
          </w:p>
        </w:tc>
        <w:tc>
          <w:tcPr>
            <w:tcW w:w="1810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$6</w:t>
            </w:r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 w:hint="eastAsia"/>
              </w:rPr>
              <w:t>480</w:t>
            </w:r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 w:hint="eastAsia"/>
              </w:rPr>
              <w:t>000</w:t>
            </w:r>
          </w:p>
        </w:tc>
        <w:tc>
          <w:tcPr>
            <w:tcW w:w="1810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$1</w:t>
            </w:r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 w:hint="eastAsia"/>
              </w:rPr>
              <w:t>360</w:t>
            </w:r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 w:hint="eastAsia"/>
              </w:rPr>
              <w:t>000</w:t>
            </w:r>
          </w:p>
        </w:tc>
        <w:tc>
          <w:tcPr>
            <w:tcW w:w="1714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$1,360,000</w:t>
            </w:r>
          </w:p>
        </w:tc>
        <w:tc>
          <w:tcPr>
            <w:tcW w:w="1603" w:type="dxa"/>
          </w:tcPr>
          <w:p w:rsidR="00781AB4" w:rsidRDefault="00781AB4" w:rsidP="00AC40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$9</w:t>
            </w:r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 w:hint="eastAsia"/>
              </w:rPr>
              <w:t>200,000</w:t>
            </w:r>
          </w:p>
        </w:tc>
      </w:tr>
    </w:tbl>
    <w:p w:rsidR="00781AB4" w:rsidRDefault="00781AB4" w:rsidP="00781AB4">
      <w:pPr>
        <w:rPr>
          <w:rFonts w:asciiTheme="majorBidi" w:hAnsiTheme="majorBidi" w:cstheme="majorBidi"/>
          <w:sz w:val="24"/>
          <w:szCs w:val="24"/>
        </w:rPr>
      </w:pPr>
    </w:p>
    <w:p w:rsidR="00781AB4" w:rsidRDefault="00361120" w:rsidP="0036112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 Cited </w:t>
      </w:r>
    </w:p>
    <w:p w:rsidR="00361120" w:rsidRDefault="00361120" w:rsidP="003611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61120" w:rsidRPr="00361120" w:rsidRDefault="00361120" w:rsidP="00361120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61120">
        <w:rPr>
          <w:rFonts w:asciiTheme="majorBidi" w:hAnsiTheme="majorBidi" w:cstheme="majorBidi"/>
          <w:color w:val="000000"/>
          <w:sz w:val="24"/>
          <w:szCs w:val="24"/>
        </w:rPr>
        <w:t>"Market Guide for Data Virtualization." Gartner, 25 July 2016. Web. 28 Feb. 2017.</w:t>
      </w:r>
    </w:p>
    <w:p w:rsidR="00361120" w:rsidRPr="00361120" w:rsidRDefault="00361120" w:rsidP="0011768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61120">
        <w:rPr>
          <w:rFonts w:asciiTheme="majorBidi" w:hAnsiTheme="majorBidi" w:cstheme="majorBidi"/>
          <w:color w:val="000000"/>
          <w:sz w:val="24"/>
          <w:szCs w:val="24"/>
        </w:rPr>
        <w:t>"Magic Quadrant for X86 Server Virtualization Infrastructure."</w:t>
      </w:r>
      <w:r w:rsidRPr="00361120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361120">
        <w:rPr>
          <w:rFonts w:asciiTheme="majorBidi" w:hAnsiTheme="majorBidi" w:cstheme="majorBidi"/>
          <w:i/>
          <w:iCs/>
          <w:color w:val="000000"/>
          <w:sz w:val="24"/>
          <w:szCs w:val="24"/>
        </w:rPr>
        <w:t>Technology Research</w:t>
      </w:r>
      <w:r w:rsidRPr="00361120">
        <w:rPr>
          <w:rFonts w:asciiTheme="majorBidi" w:hAnsiTheme="majorBidi" w:cstheme="majorBidi"/>
          <w:color w:val="000000"/>
          <w:sz w:val="24"/>
          <w:szCs w:val="24"/>
        </w:rPr>
        <w:t>. Gartner, Inc., 03 Aug. 2016. Web. 28 Feb. 2017.</w:t>
      </w:r>
      <w:bookmarkStart w:id="0" w:name="_GoBack"/>
      <w:bookmarkEnd w:id="0"/>
    </w:p>
    <w:p w:rsidR="00781AB4" w:rsidRPr="00361120" w:rsidRDefault="00361120" w:rsidP="0036112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61120">
        <w:rPr>
          <w:rFonts w:asciiTheme="majorBidi" w:hAnsiTheme="majorBidi" w:cstheme="majorBidi"/>
          <w:color w:val="000000"/>
          <w:sz w:val="24"/>
          <w:szCs w:val="24"/>
        </w:rPr>
        <w:t>"Virtual Machines and Containers Solve Different Problems." Gartner, 10 Dec. 2015. Web. 28 Feb. 2017. &lt;Virtual Machines and Containers Solve Different Problems&gt;.</w:t>
      </w:r>
    </w:p>
    <w:sectPr w:rsidR="00781AB4" w:rsidRPr="00361120" w:rsidSect="00E07DE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B4"/>
    <w:rsid w:val="00014298"/>
    <w:rsid w:val="0001633A"/>
    <w:rsid w:val="00021E4B"/>
    <w:rsid w:val="00030D17"/>
    <w:rsid w:val="00031AED"/>
    <w:rsid w:val="00046165"/>
    <w:rsid w:val="000C3B29"/>
    <w:rsid w:val="0011768B"/>
    <w:rsid w:val="001808A8"/>
    <w:rsid w:val="00181A1A"/>
    <w:rsid w:val="001878A6"/>
    <w:rsid w:val="001A4980"/>
    <w:rsid w:val="001C5526"/>
    <w:rsid w:val="001F6F67"/>
    <w:rsid w:val="00255842"/>
    <w:rsid w:val="002D6D7D"/>
    <w:rsid w:val="0031098C"/>
    <w:rsid w:val="00361120"/>
    <w:rsid w:val="00377995"/>
    <w:rsid w:val="00387732"/>
    <w:rsid w:val="00406326"/>
    <w:rsid w:val="004233EE"/>
    <w:rsid w:val="00455B28"/>
    <w:rsid w:val="004666C4"/>
    <w:rsid w:val="00475312"/>
    <w:rsid w:val="005148CA"/>
    <w:rsid w:val="00514B26"/>
    <w:rsid w:val="00533DA2"/>
    <w:rsid w:val="00544869"/>
    <w:rsid w:val="00597A6F"/>
    <w:rsid w:val="005F18D2"/>
    <w:rsid w:val="00603965"/>
    <w:rsid w:val="00665E60"/>
    <w:rsid w:val="00682DC6"/>
    <w:rsid w:val="00733D6B"/>
    <w:rsid w:val="007535B7"/>
    <w:rsid w:val="007549CB"/>
    <w:rsid w:val="00770610"/>
    <w:rsid w:val="00781AB4"/>
    <w:rsid w:val="007F0C77"/>
    <w:rsid w:val="00831A39"/>
    <w:rsid w:val="0086295C"/>
    <w:rsid w:val="0088555D"/>
    <w:rsid w:val="008A42A4"/>
    <w:rsid w:val="008B7F96"/>
    <w:rsid w:val="0090288A"/>
    <w:rsid w:val="009077EE"/>
    <w:rsid w:val="00931DC7"/>
    <w:rsid w:val="00945BCE"/>
    <w:rsid w:val="009A5823"/>
    <w:rsid w:val="009D51C5"/>
    <w:rsid w:val="00A0310D"/>
    <w:rsid w:val="00A12F7F"/>
    <w:rsid w:val="00A2443C"/>
    <w:rsid w:val="00A53940"/>
    <w:rsid w:val="00A548D0"/>
    <w:rsid w:val="00A569FE"/>
    <w:rsid w:val="00A6183F"/>
    <w:rsid w:val="00AB53E5"/>
    <w:rsid w:val="00AE2838"/>
    <w:rsid w:val="00B35954"/>
    <w:rsid w:val="00B8726F"/>
    <w:rsid w:val="00BC179D"/>
    <w:rsid w:val="00C42E1D"/>
    <w:rsid w:val="00C95CC7"/>
    <w:rsid w:val="00C9761E"/>
    <w:rsid w:val="00CA0547"/>
    <w:rsid w:val="00CB747C"/>
    <w:rsid w:val="00CC21F7"/>
    <w:rsid w:val="00CF5AC4"/>
    <w:rsid w:val="00E07DE1"/>
    <w:rsid w:val="00E52E15"/>
    <w:rsid w:val="00E57C2A"/>
    <w:rsid w:val="00E60ED7"/>
    <w:rsid w:val="00E9551E"/>
    <w:rsid w:val="00EE4569"/>
    <w:rsid w:val="00EF1370"/>
    <w:rsid w:val="00FD5446"/>
    <w:rsid w:val="00FF294E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73D3"/>
  <w15:chartTrackingRefBased/>
  <w15:docId w15:val="{FE4FBB32-9353-4517-9BC4-B9F5C05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A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AB4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A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Shi Yu Dong</cp:lastModifiedBy>
  <cp:revision>2</cp:revision>
  <cp:lastPrinted>2017-02-28T14:48:00Z</cp:lastPrinted>
  <dcterms:created xsi:type="dcterms:W3CDTF">2017-02-28T21:39:00Z</dcterms:created>
  <dcterms:modified xsi:type="dcterms:W3CDTF">2017-02-28T21:39:00Z</dcterms:modified>
</cp:coreProperties>
</file>