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F2D6" w14:textId="77777777" w:rsidR="00647B26" w:rsidRDefault="00647B26" w:rsidP="00647B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Fatai Saka</w:t>
      </w:r>
    </w:p>
    <w:p w14:paraId="235DCE2A" w14:textId="0DD52D43" w:rsidR="00647B26" w:rsidRDefault="00647B26" w:rsidP="00647B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Flash Research Paper </w:t>
      </w:r>
      <w:r w:rsidR="00D976AF">
        <w:rPr>
          <w:rFonts w:cstheme="minorHAnsi"/>
          <w:sz w:val="24"/>
          <w:szCs w:val="24"/>
        </w:rPr>
        <w:t>#</w:t>
      </w:r>
      <w:r>
        <w:rPr>
          <w:rFonts w:cstheme="minorHAnsi"/>
          <w:sz w:val="24"/>
          <w:szCs w:val="24"/>
        </w:rPr>
        <w:t xml:space="preserve">1  </w:t>
      </w:r>
    </w:p>
    <w:p w14:paraId="60BAF39A" w14:textId="77777777" w:rsidR="00647B26" w:rsidRDefault="00647B26" w:rsidP="00647B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Professor Mart Doyle</w:t>
      </w:r>
    </w:p>
    <w:p w14:paraId="7F204CAF" w14:textId="46362ABF" w:rsidR="00647B26" w:rsidRDefault="00647B26" w:rsidP="00647B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 3406Ente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rprise IT Architecture </w:t>
      </w:r>
    </w:p>
    <w:p w14:paraId="2712BF33" w14:textId="153DCAE4" w:rsidR="00D976AF" w:rsidRDefault="00D976AF" w:rsidP="00647B26">
      <w:pPr>
        <w:spacing w:after="0"/>
        <w:rPr>
          <w:rFonts w:cstheme="minorHAnsi"/>
          <w:sz w:val="24"/>
          <w:szCs w:val="24"/>
        </w:rPr>
      </w:pPr>
    </w:p>
    <w:p w14:paraId="7E9D4B9D" w14:textId="011E2EC3" w:rsidR="00D976AF" w:rsidRDefault="00D976AF" w:rsidP="00647B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Datacenter and Networking</w:t>
      </w:r>
    </w:p>
    <w:p w14:paraId="3C6658F9" w14:textId="6D0BA4A6" w:rsidR="00294C7C" w:rsidRPr="0056348A" w:rsidRDefault="00294C7C" w:rsidP="00294C7C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bookmarkStart w:id="1" w:name="_Hlk526942984"/>
      <w:r>
        <w:rPr>
          <w:rFonts w:cstheme="minorHAnsi"/>
          <w:sz w:val="24"/>
          <w:szCs w:val="24"/>
        </w:rPr>
        <w:t xml:space="preserve">We are losing </w:t>
      </w:r>
      <w:r w:rsidRPr="0056348A">
        <w:rPr>
          <w:rFonts w:cstheme="minorHAnsi"/>
          <w:sz w:val="24"/>
          <w:szCs w:val="24"/>
        </w:rPr>
        <w:t>$25,670,304</w:t>
      </w:r>
      <w:r>
        <w:rPr>
          <w:rFonts w:cstheme="minorHAnsi"/>
          <w:sz w:val="24"/>
          <w:szCs w:val="24"/>
        </w:rPr>
        <w:t xml:space="preserve"> per year due to downtime caused by system outages from our present infrastructure, the Tier I data center. However, </w:t>
      </w:r>
      <w:bookmarkStart w:id="2" w:name="_Hlk526942969"/>
      <w:r w:rsidR="003768E5">
        <w:rPr>
          <w:rFonts w:cstheme="minorHAnsi"/>
          <w:sz w:val="24"/>
          <w:szCs w:val="24"/>
        </w:rPr>
        <w:t>building a</w:t>
      </w:r>
      <w:r>
        <w:rPr>
          <w:rFonts w:cstheme="minorHAnsi"/>
          <w:sz w:val="24"/>
          <w:szCs w:val="24"/>
        </w:rPr>
        <w:t xml:space="preserve"> </w:t>
      </w:r>
      <w:r w:rsidRPr="0056348A">
        <w:rPr>
          <w:rFonts w:cstheme="minorHAnsi"/>
          <w:sz w:val="24"/>
          <w:szCs w:val="24"/>
        </w:rPr>
        <w:t xml:space="preserve">Tier III </w:t>
      </w:r>
      <w:r>
        <w:rPr>
          <w:rFonts w:cstheme="minorHAnsi"/>
          <w:sz w:val="24"/>
          <w:szCs w:val="24"/>
        </w:rPr>
        <w:t>d</w:t>
      </w:r>
      <w:r w:rsidRPr="0056348A">
        <w:rPr>
          <w:rFonts w:cstheme="minorHAnsi"/>
          <w:sz w:val="24"/>
          <w:szCs w:val="24"/>
        </w:rPr>
        <w:t>ata cente</w:t>
      </w:r>
      <w:r>
        <w:rPr>
          <w:rFonts w:cstheme="minorHAnsi"/>
          <w:sz w:val="24"/>
          <w:szCs w:val="24"/>
        </w:rPr>
        <w:t>r</w:t>
      </w:r>
      <w:r w:rsidR="00F84187">
        <w:rPr>
          <w:rFonts w:cstheme="minorHAnsi"/>
          <w:sz w:val="24"/>
          <w:szCs w:val="24"/>
        </w:rPr>
        <w:t xml:space="preserve"> with multi data distribution path</w:t>
      </w:r>
      <w:r w:rsidR="00927684">
        <w:rPr>
          <w:rFonts w:cstheme="minorHAnsi"/>
          <w:sz w:val="24"/>
          <w:szCs w:val="24"/>
        </w:rPr>
        <w:t>s</w:t>
      </w:r>
      <w:r w:rsidR="00BE340D">
        <w:rPr>
          <w:rFonts w:cstheme="minorHAnsi"/>
          <w:sz w:val="24"/>
          <w:szCs w:val="24"/>
        </w:rPr>
        <w:t>,</w:t>
      </w:r>
      <w:r w:rsidR="00F84187">
        <w:rPr>
          <w:rFonts w:cstheme="minorHAnsi"/>
          <w:sz w:val="24"/>
          <w:szCs w:val="24"/>
        </w:rPr>
        <w:t xml:space="preserve"> redundant</w:t>
      </w:r>
      <w:r w:rsidR="00BE340D">
        <w:rPr>
          <w:rFonts w:cstheme="minorHAnsi"/>
          <w:sz w:val="24"/>
          <w:szCs w:val="24"/>
        </w:rPr>
        <w:t xml:space="preserve"> capacity</w:t>
      </w:r>
      <w:r w:rsidR="00481998">
        <w:rPr>
          <w:rFonts w:cstheme="minorHAnsi"/>
          <w:sz w:val="24"/>
          <w:szCs w:val="24"/>
        </w:rPr>
        <w:t>,</w:t>
      </w:r>
      <w:r w:rsidR="0015400E">
        <w:rPr>
          <w:rFonts w:cstheme="minorHAnsi"/>
          <w:sz w:val="24"/>
          <w:szCs w:val="24"/>
        </w:rPr>
        <w:t xml:space="preserve"> and dual power equipment will create less room for outages.</w:t>
      </w:r>
    </w:p>
    <w:bookmarkEnd w:id="1"/>
    <w:bookmarkEnd w:id="2"/>
    <w:p w14:paraId="07930B55" w14:textId="4D166ABF" w:rsidR="00A04D2A" w:rsidRDefault="00A04D2A" w:rsidP="00A04D2A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56348A">
        <w:rPr>
          <w:rFonts w:cstheme="minorHAnsi"/>
          <w:sz w:val="24"/>
          <w:szCs w:val="24"/>
        </w:rPr>
        <w:t>A Tier III data center offers</w:t>
      </w:r>
      <w:r>
        <w:rPr>
          <w:rFonts w:cstheme="minorHAnsi"/>
          <w:sz w:val="24"/>
          <w:szCs w:val="24"/>
        </w:rPr>
        <w:t xml:space="preserve"> redundant capacity component</w:t>
      </w:r>
      <w:r w:rsidR="00CC706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56348A">
        <w:rPr>
          <w:rFonts w:cstheme="minorHAnsi"/>
          <w:sz w:val="24"/>
          <w:szCs w:val="24"/>
        </w:rPr>
        <w:t>which concurrently allow maintenance and IT operation</w:t>
      </w:r>
      <w:r>
        <w:rPr>
          <w:rFonts w:cstheme="minorHAnsi"/>
          <w:sz w:val="24"/>
          <w:szCs w:val="24"/>
        </w:rPr>
        <w:t xml:space="preserve">s on the systems </w:t>
      </w:r>
      <w:r w:rsidRPr="0056348A">
        <w:rPr>
          <w:rFonts w:cstheme="minorHAnsi"/>
          <w:sz w:val="24"/>
          <w:szCs w:val="24"/>
        </w:rPr>
        <w:t xml:space="preserve">without </w:t>
      </w:r>
      <w:r>
        <w:rPr>
          <w:rFonts w:cstheme="minorHAnsi"/>
          <w:sz w:val="24"/>
          <w:szCs w:val="24"/>
        </w:rPr>
        <w:t xml:space="preserve">interrupting the operations of the data center. A </w:t>
      </w:r>
      <w:r w:rsidR="0048199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ier III data center guarantees 99.98% availability of data, 72-hour power outage protection</w:t>
      </w:r>
      <w:r w:rsidR="0048199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multiple independent distribution paths. All these features make </w:t>
      </w:r>
      <w:r w:rsidR="0048199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Tier III data center less susceptible to outages, which is beyond what is obtainable in </w:t>
      </w:r>
      <w:r w:rsidR="00481998">
        <w:rPr>
          <w:rFonts w:cstheme="minorHAnsi"/>
          <w:sz w:val="24"/>
          <w:szCs w:val="24"/>
        </w:rPr>
        <w:t xml:space="preserve">the </w:t>
      </w:r>
      <w:r w:rsidRPr="0056348A">
        <w:rPr>
          <w:rFonts w:cstheme="minorHAnsi"/>
          <w:sz w:val="24"/>
          <w:szCs w:val="24"/>
        </w:rPr>
        <w:t xml:space="preserve">Tier I data center </w:t>
      </w:r>
    </w:p>
    <w:p w14:paraId="51DCF600" w14:textId="47C72AF6" w:rsidR="00CC706A" w:rsidRDefault="00CC706A" w:rsidP="00CC706A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56348A">
        <w:rPr>
          <w:rFonts w:cstheme="minorHAnsi"/>
          <w:sz w:val="24"/>
          <w:szCs w:val="24"/>
        </w:rPr>
        <w:t xml:space="preserve">dapting </w:t>
      </w:r>
      <w:r>
        <w:rPr>
          <w:rFonts w:cstheme="minorHAnsi"/>
          <w:sz w:val="24"/>
          <w:szCs w:val="24"/>
        </w:rPr>
        <w:t xml:space="preserve">to </w:t>
      </w:r>
      <w:r w:rsidRPr="0056348A">
        <w:rPr>
          <w:rFonts w:cstheme="minorHAnsi"/>
          <w:sz w:val="24"/>
          <w:szCs w:val="24"/>
        </w:rPr>
        <w:t>the Tier III data center</w:t>
      </w:r>
      <w:r>
        <w:rPr>
          <w:rFonts w:cstheme="minorHAnsi"/>
          <w:sz w:val="24"/>
          <w:szCs w:val="24"/>
        </w:rPr>
        <w:t xml:space="preserve"> – a one-year project, costing</w:t>
      </w:r>
      <w:r w:rsidRPr="0056348A">
        <w:rPr>
          <w:rFonts w:cstheme="minorHAnsi"/>
          <w:sz w:val="24"/>
          <w:szCs w:val="24"/>
        </w:rPr>
        <w:t xml:space="preserve"> $35million</w:t>
      </w:r>
      <w:r>
        <w:rPr>
          <w:rFonts w:cstheme="minorHAnsi"/>
          <w:sz w:val="24"/>
          <w:szCs w:val="24"/>
        </w:rPr>
        <w:t xml:space="preserve"> will provide a benefit of $25,670,304.00. </w:t>
      </w:r>
      <w:r w:rsidRPr="0056348A">
        <w:rPr>
          <w:rFonts w:cstheme="minorHAnsi"/>
          <w:sz w:val="24"/>
          <w:szCs w:val="24"/>
        </w:rPr>
        <w:t xml:space="preserve">Thus, our company </w:t>
      </w:r>
      <w:r>
        <w:rPr>
          <w:rFonts w:cstheme="minorHAnsi"/>
          <w:sz w:val="24"/>
          <w:szCs w:val="24"/>
        </w:rPr>
        <w:t xml:space="preserve">could achieve a net benefit of $13,229,056 at the end of the third year of implementation. </w:t>
      </w:r>
    </w:p>
    <w:p w14:paraId="768ED176" w14:textId="12A70ED8" w:rsidR="001E43E6" w:rsidRDefault="001E43E6"/>
    <w:p w14:paraId="2DF1271F" w14:textId="1776A203" w:rsidR="00954CD6" w:rsidRDefault="00954CD6"/>
    <w:p w14:paraId="3D320716" w14:textId="4346A119" w:rsidR="00954CD6" w:rsidRDefault="00954CD6"/>
    <w:p w14:paraId="079F0837" w14:textId="7B0AC812" w:rsidR="00954CD6" w:rsidRDefault="00954CD6"/>
    <w:p w14:paraId="67AA4D2D" w14:textId="0B5FB442" w:rsidR="00954CD6" w:rsidRDefault="00954CD6"/>
    <w:p w14:paraId="7192F395" w14:textId="2D979065" w:rsidR="00954CD6" w:rsidRDefault="00954CD6"/>
    <w:p w14:paraId="2A8B3082" w14:textId="38D0BF72" w:rsidR="00954CD6" w:rsidRDefault="00954CD6"/>
    <w:p w14:paraId="3B4D588C" w14:textId="214ACE6D" w:rsidR="00954CD6" w:rsidRDefault="00954CD6"/>
    <w:p w14:paraId="2C969404" w14:textId="77777777" w:rsidR="00D976AF" w:rsidRDefault="00D976AF" w:rsidP="00954CD6">
      <w:pPr>
        <w:spacing w:before="240"/>
        <w:rPr>
          <w:rFonts w:cstheme="minorHAnsi"/>
          <w:b/>
          <w:sz w:val="24"/>
          <w:szCs w:val="24"/>
        </w:rPr>
      </w:pPr>
    </w:p>
    <w:p w14:paraId="5666E21E" w14:textId="7DF49F77" w:rsidR="00954CD6" w:rsidRPr="00FF00C9" w:rsidRDefault="00954CD6" w:rsidP="00954CD6">
      <w:pPr>
        <w:spacing w:before="240"/>
        <w:rPr>
          <w:rFonts w:cstheme="minorHAnsi"/>
          <w:b/>
          <w:sz w:val="24"/>
          <w:szCs w:val="24"/>
        </w:rPr>
      </w:pPr>
      <w:r w:rsidRPr="00FF00C9">
        <w:rPr>
          <w:rFonts w:cstheme="minorHAnsi"/>
          <w:b/>
          <w:sz w:val="24"/>
          <w:szCs w:val="24"/>
        </w:rPr>
        <w:lastRenderedPageBreak/>
        <w:t>Cost Benefit Analysis</w:t>
      </w:r>
      <w:r w:rsidRPr="00FF00C9">
        <w:rPr>
          <w:rFonts w:cstheme="minorHAnsi"/>
          <w:b/>
          <w:sz w:val="24"/>
          <w:szCs w:val="24"/>
        </w:rPr>
        <w:tab/>
      </w:r>
      <w:r w:rsidRPr="00FF00C9">
        <w:rPr>
          <w:rFonts w:cstheme="minorHAnsi"/>
          <w:b/>
          <w:sz w:val="24"/>
          <w:szCs w:val="24"/>
        </w:rPr>
        <w:tab/>
      </w:r>
      <w:r w:rsidRPr="00FF00C9">
        <w:rPr>
          <w:rFonts w:cstheme="minorHAnsi"/>
          <w:b/>
          <w:sz w:val="24"/>
          <w:szCs w:val="24"/>
        </w:rPr>
        <w:tab/>
      </w:r>
      <w:r w:rsidRPr="00FF00C9">
        <w:rPr>
          <w:rFonts w:cstheme="minorHAnsi"/>
          <w:b/>
          <w:sz w:val="24"/>
          <w:szCs w:val="24"/>
        </w:rPr>
        <w:tab/>
      </w:r>
      <w:r w:rsidRPr="00FF00C9">
        <w:rPr>
          <w:rFonts w:cstheme="minorHAnsi"/>
          <w:b/>
          <w:sz w:val="24"/>
          <w:szCs w:val="24"/>
        </w:rPr>
        <w:tab/>
      </w:r>
      <w:r w:rsidRPr="00FF00C9">
        <w:rPr>
          <w:rFonts w:cstheme="minorHAnsi"/>
          <w:b/>
          <w:sz w:val="24"/>
          <w:szCs w:val="24"/>
        </w:rPr>
        <w:tab/>
      </w:r>
      <w:r w:rsidRPr="00FF00C9">
        <w:rPr>
          <w:rFonts w:cstheme="minorHAnsi"/>
          <w:b/>
          <w:sz w:val="24"/>
          <w:szCs w:val="24"/>
        </w:rPr>
        <w:tab/>
      </w:r>
    </w:p>
    <w:p w14:paraId="43FD7D01" w14:textId="77777777" w:rsidR="00954CD6" w:rsidRDefault="00954CD6" w:rsidP="00954CD6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minute/year: 365 days *24hours*60 minutes = 526,600 minutes., downtime cost/minute $14, 800.</w:t>
      </w:r>
    </w:p>
    <w:p w14:paraId="6EB15C9D" w14:textId="77777777" w:rsidR="00954CD6" w:rsidRDefault="00954CD6" w:rsidP="00954CD6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Initial investment Cost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$35,000,000</w:t>
      </w:r>
    </w:p>
    <w:p w14:paraId="253AD74B" w14:textId="77777777" w:rsidR="00954CD6" w:rsidRDefault="00954CD6" w:rsidP="00954CD6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Tier I (Current Infrastructure) at 99.67% availability and 0.33% downtime</w:t>
      </w:r>
    </w:p>
    <w:p w14:paraId="5D620D38" w14:textId="77777777" w:rsidR="00954CD6" w:rsidRDefault="00954CD6" w:rsidP="00954CD6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(525,600 minutes * 0.33%) * $14,800 = $25, 670,304.</w:t>
      </w:r>
    </w:p>
    <w:p w14:paraId="15A2074C" w14:textId="77777777" w:rsidR="00954CD6" w:rsidRDefault="00954CD6" w:rsidP="00954CD6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Tier III (Proposed Infrastructure) at 99.98% availability and 0.33% downtime</w:t>
      </w:r>
    </w:p>
    <w:p w14:paraId="03FE9BF2" w14:textId="77777777" w:rsidR="00954CD6" w:rsidRDefault="00954CD6" w:rsidP="00954CD6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(525,600 minutes * 0.02%) * 14,800 = $1, 555,776.</w:t>
      </w:r>
    </w:p>
    <w:p w14:paraId="59B14244" w14:textId="77777777" w:rsidR="00954CD6" w:rsidRDefault="00954CD6" w:rsidP="00954CD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35"/>
        <w:gridCol w:w="1883"/>
        <w:gridCol w:w="1883"/>
        <w:gridCol w:w="1884"/>
      </w:tblGrid>
      <w:tr w:rsidR="00954CD6" w14:paraId="7CA24A85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31E" w14:textId="77777777" w:rsidR="00954CD6" w:rsidRDefault="00954CD6" w:rsidP="00BE340D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E567" w14:textId="77777777" w:rsidR="00954CD6" w:rsidRDefault="00954CD6" w:rsidP="00BE340D">
            <w:pPr>
              <w:jc w:val="center"/>
              <w:rPr>
                <w:b/>
              </w:rPr>
            </w:pPr>
            <w:r>
              <w:rPr>
                <w:b/>
              </w:rPr>
              <w:t>Total Minutes /Year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8068" w14:textId="77777777" w:rsidR="00954CD6" w:rsidRDefault="00954CD6" w:rsidP="00BE340D">
            <w:pPr>
              <w:jc w:val="center"/>
              <w:rPr>
                <w:b/>
              </w:rPr>
            </w:pPr>
            <w:r>
              <w:rPr>
                <w:b/>
              </w:rPr>
              <w:t>Availability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CB6F" w14:textId="77777777" w:rsidR="00954CD6" w:rsidRDefault="00954CD6" w:rsidP="00BE340D">
            <w:pPr>
              <w:jc w:val="center"/>
              <w:rPr>
                <w:b/>
              </w:rPr>
            </w:pPr>
            <w:r>
              <w:rPr>
                <w:b/>
              </w:rPr>
              <w:t>Downtime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16E6" w14:textId="77777777" w:rsidR="00954CD6" w:rsidRDefault="00954CD6" w:rsidP="00BE340D">
            <w:pPr>
              <w:jc w:val="center"/>
              <w:rPr>
                <w:b/>
              </w:rPr>
            </w:pPr>
            <w:r>
              <w:rPr>
                <w:b/>
              </w:rPr>
              <w:t>Downtime cost $</w:t>
            </w:r>
          </w:p>
        </w:tc>
      </w:tr>
      <w:tr w:rsidR="00954CD6" w14:paraId="3D5036A4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CFC4" w14:textId="77777777" w:rsidR="00954CD6" w:rsidRDefault="00954CD6" w:rsidP="00BE340D">
            <w:pPr>
              <w:jc w:val="center"/>
              <w:rPr>
                <w:b/>
              </w:rPr>
            </w:pPr>
            <w:r>
              <w:rPr>
                <w:b/>
              </w:rPr>
              <w:t>Tier 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915B" w14:textId="77777777" w:rsidR="00954CD6" w:rsidRDefault="00954CD6" w:rsidP="00BE340D">
            <w:pPr>
              <w:jc w:val="center"/>
            </w:pPr>
            <w:r>
              <w:t>526,000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3356" w14:textId="77777777" w:rsidR="00954CD6" w:rsidRDefault="00954CD6" w:rsidP="00BE340D">
            <w:pPr>
              <w:jc w:val="center"/>
            </w:pPr>
            <w:r>
              <w:t>99.67%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5DEF" w14:textId="77777777" w:rsidR="00954CD6" w:rsidRDefault="00954CD6" w:rsidP="00BE340D">
            <w:pPr>
              <w:jc w:val="center"/>
            </w:pPr>
            <w:r>
              <w:t>1, 734.48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5EB0" w14:textId="77777777" w:rsidR="00954CD6" w:rsidRDefault="00954CD6" w:rsidP="00BE340D">
            <w:pPr>
              <w:jc w:val="center"/>
            </w:pPr>
            <w:r>
              <w:t>25, 670,304.00</w:t>
            </w:r>
          </w:p>
        </w:tc>
      </w:tr>
      <w:tr w:rsidR="00954CD6" w14:paraId="5960FDE2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DF7" w14:textId="77777777" w:rsidR="00954CD6" w:rsidRDefault="00954CD6" w:rsidP="00BE340D">
            <w:pPr>
              <w:jc w:val="center"/>
              <w:rPr>
                <w:b/>
              </w:rPr>
            </w:pPr>
            <w:r>
              <w:rPr>
                <w:b/>
              </w:rPr>
              <w:t>Tier III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9526" w14:textId="77777777" w:rsidR="00954CD6" w:rsidRDefault="00954CD6" w:rsidP="00BE340D">
            <w:pPr>
              <w:jc w:val="center"/>
            </w:pPr>
            <w:r>
              <w:t>525,600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932C" w14:textId="77777777" w:rsidR="00954CD6" w:rsidRDefault="00954CD6" w:rsidP="00BE340D">
            <w:pPr>
              <w:jc w:val="center"/>
            </w:pPr>
            <w:r>
              <w:t>99.98%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B395" w14:textId="77777777" w:rsidR="00954CD6" w:rsidRDefault="00954CD6" w:rsidP="00BE340D">
            <w:pPr>
              <w:jc w:val="center"/>
            </w:pPr>
            <w:r>
              <w:t>105.12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489A" w14:textId="77777777" w:rsidR="00954CD6" w:rsidRDefault="00954CD6" w:rsidP="00BE340D">
            <w:pPr>
              <w:jc w:val="center"/>
            </w:pPr>
            <w:r>
              <w:t>(1, 555.776.00)</w:t>
            </w:r>
          </w:p>
        </w:tc>
      </w:tr>
      <w:tr w:rsidR="00954CD6" w14:paraId="5B7211E6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AF1" w14:textId="77777777" w:rsidR="00954CD6" w:rsidRDefault="00954CD6" w:rsidP="00BE340D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991" w14:textId="77777777" w:rsidR="00954CD6" w:rsidRDefault="00954CD6" w:rsidP="00BE340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FFF" w14:textId="7095B1CC" w:rsidR="00954CD6" w:rsidRDefault="00954CD6" w:rsidP="00BE340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B9457E7" w14:textId="77777777" w:rsidR="00954CD6" w:rsidRDefault="00954CD6" w:rsidP="00BE340D">
            <w:pPr>
              <w:jc w:val="center"/>
            </w:pPr>
            <w:r>
              <w:t>Saving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4FD1095" w14:textId="77777777" w:rsidR="00954CD6" w:rsidRDefault="00954CD6" w:rsidP="00BE340D">
            <w:pPr>
              <w:jc w:val="center"/>
            </w:pPr>
            <w:r>
              <w:t>24,114,528.00</w:t>
            </w:r>
          </w:p>
        </w:tc>
      </w:tr>
      <w:tr w:rsidR="00954CD6" w14:paraId="2DB5FE8D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25D" w14:textId="77777777" w:rsidR="00954CD6" w:rsidRDefault="00954CD6" w:rsidP="00BE340D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1383" w14:textId="77777777" w:rsidR="00954CD6" w:rsidRDefault="00954CD6" w:rsidP="00BE340D">
            <w:pPr>
              <w:jc w:val="center"/>
            </w:pPr>
            <w:r>
              <w:t>Year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4762" w14:textId="77777777" w:rsidR="00954CD6" w:rsidRDefault="00954CD6" w:rsidP="00BE340D">
            <w:pPr>
              <w:jc w:val="center"/>
            </w:pPr>
            <w:r>
              <w:t>Year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653" w14:textId="77777777" w:rsidR="00954CD6" w:rsidRDefault="00954CD6" w:rsidP="00BE340D">
            <w:pPr>
              <w:jc w:val="center"/>
            </w:pPr>
            <w:r>
              <w:t>Year 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8B7" w14:textId="77777777" w:rsidR="00954CD6" w:rsidRDefault="00954CD6" w:rsidP="00BE340D">
            <w:pPr>
              <w:jc w:val="center"/>
            </w:pPr>
            <w:r>
              <w:t>Total</w:t>
            </w:r>
          </w:p>
        </w:tc>
      </w:tr>
      <w:tr w:rsidR="00954CD6" w14:paraId="597A5CC3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84C" w14:textId="77777777" w:rsidR="00954CD6" w:rsidRDefault="00954CD6" w:rsidP="00BE340D">
            <w:pPr>
              <w:jc w:val="center"/>
              <w:rPr>
                <w:b/>
              </w:rPr>
            </w:pPr>
            <w:r>
              <w:rPr>
                <w:b/>
              </w:rPr>
              <w:t>Benefit   $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839E" w14:textId="77777777" w:rsidR="00954CD6" w:rsidRDefault="00954CD6" w:rsidP="00BE340D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0D3A" w14:textId="77777777" w:rsidR="00954CD6" w:rsidRDefault="00954CD6" w:rsidP="00BE340D">
            <w:pPr>
              <w:jc w:val="center"/>
            </w:pPr>
            <w:r>
              <w:t>24,114,528.00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5930" w14:textId="77777777" w:rsidR="00954CD6" w:rsidRDefault="00954CD6" w:rsidP="00BE340D">
            <w:pPr>
              <w:jc w:val="center"/>
            </w:pPr>
            <w:r>
              <w:t>24,114,528.00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E96" w14:textId="77777777" w:rsidR="00954CD6" w:rsidRDefault="00954CD6" w:rsidP="00BE340D">
            <w:pPr>
              <w:jc w:val="center"/>
            </w:pPr>
            <w:r>
              <w:t>48, 229,056.00</w:t>
            </w:r>
          </w:p>
        </w:tc>
      </w:tr>
      <w:tr w:rsidR="00954CD6" w14:paraId="1BF28D37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90D0" w14:textId="77777777" w:rsidR="00954CD6" w:rsidRDefault="00954CD6" w:rsidP="00BE340D">
            <w:pPr>
              <w:jc w:val="center"/>
              <w:rPr>
                <w:b/>
              </w:rPr>
            </w:pPr>
            <w:r>
              <w:rPr>
                <w:b/>
              </w:rPr>
              <w:t>Cost        $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B95" w14:textId="77777777" w:rsidR="00954CD6" w:rsidRDefault="00954CD6" w:rsidP="00BE340D">
            <w:pPr>
              <w:jc w:val="center"/>
            </w:pPr>
            <w:r>
              <w:t>35,000,000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9307" w14:textId="77777777" w:rsidR="00954CD6" w:rsidRDefault="00954CD6" w:rsidP="00BE340D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7625" w14:textId="77777777" w:rsidR="00954CD6" w:rsidRDefault="00954CD6" w:rsidP="00BE340D">
            <w:pPr>
              <w:jc w:val="center"/>
            </w:pPr>
            <w: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33FF" w14:textId="77777777" w:rsidR="00954CD6" w:rsidRDefault="00954CD6" w:rsidP="00BE340D">
            <w:pPr>
              <w:jc w:val="center"/>
            </w:pPr>
            <w:r>
              <w:t>35,000,000.00</w:t>
            </w:r>
          </w:p>
        </w:tc>
      </w:tr>
      <w:tr w:rsidR="00954CD6" w14:paraId="0DDE1E01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6B6" w14:textId="77777777" w:rsidR="00954CD6" w:rsidRDefault="00954CD6" w:rsidP="00BE340D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2A4" w14:textId="77777777" w:rsidR="00954CD6" w:rsidRDefault="00954CD6" w:rsidP="00BE340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534" w14:textId="77777777" w:rsidR="00954CD6" w:rsidRDefault="00954CD6" w:rsidP="00BE340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C80CDC0" w14:textId="77777777" w:rsidR="00954CD6" w:rsidRDefault="00954CD6" w:rsidP="00BE340D">
            <w:pPr>
              <w:jc w:val="center"/>
            </w:pPr>
            <w:proofErr w:type="gramStart"/>
            <w:r>
              <w:t>3 year</w:t>
            </w:r>
            <w:proofErr w:type="gramEnd"/>
            <w:r>
              <w:t xml:space="preserve"> Net benefit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461FAC5" w14:textId="77777777" w:rsidR="00954CD6" w:rsidRDefault="00954CD6" w:rsidP="00BE340D">
            <w:pPr>
              <w:jc w:val="center"/>
            </w:pPr>
            <w:r>
              <w:t>13, 229,056.00</w:t>
            </w:r>
          </w:p>
        </w:tc>
      </w:tr>
      <w:tr w:rsidR="006C73B7" w14:paraId="1E51B24F" w14:textId="77777777" w:rsidTr="00BE3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07E" w14:textId="77777777" w:rsidR="006C73B7" w:rsidRDefault="006C73B7" w:rsidP="00BE340D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637" w14:textId="77777777" w:rsidR="006C73B7" w:rsidRDefault="006C73B7" w:rsidP="00BE340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105" w14:textId="77777777" w:rsidR="006C73B7" w:rsidRDefault="006C73B7" w:rsidP="00BE340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AEF9C04" w14:textId="77777777" w:rsidR="006C73B7" w:rsidRDefault="006C73B7" w:rsidP="00BE340D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411F11" w14:textId="77777777" w:rsidR="006C73B7" w:rsidRDefault="006C73B7" w:rsidP="00BE340D">
            <w:pPr>
              <w:jc w:val="center"/>
            </w:pPr>
          </w:p>
        </w:tc>
      </w:tr>
    </w:tbl>
    <w:p w14:paraId="1D31B5F3" w14:textId="3F324017" w:rsidR="00954CD6" w:rsidRDefault="00954CD6" w:rsidP="00954CD6">
      <w:pPr>
        <w:spacing w:after="0"/>
      </w:pPr>
    </w:p>
    <w:p w14:paraId="05D17F76" w14:textId="64D648AB" w:rsidR="006C73B7" w:rsidRDefault="006C73B7" w:rsidP="00954CD6">
      <w:pPr>
        <w:spacing w:after="0"/>
      </w:pPr>
      <w:r>
        <w:tab/>
      </w:r>
      <w:r>
        <w:tab/>
      </w:r>
      <w:r>
        <w:tab/>
      </w:r>
      <w:r>
        <w:tab/>
      </w:r>
      <w:r>
        <w:tab/>
        <w:t>Work Cited</w:t>
      </w:r>
    </w:p>
    <w:p w14:paraId="746838B7" w14:textId="77777777" w:rsidR="006C73B7" w:rsidRDefault="006C73B7" w:rsidP="00954CD6">
      <w:pPr>
        <w:spacing w:after="0"/>
      </w:pPr>
    </w:p>
    <w:p w14:paraId="45AADDA3" w14:textId="0287A24A" w:rsidR="006C73B7" w:rsidRDefault="006C73B7" w:rsidP="006C73B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Colocation America. Data Center | </w:t>
      </w:r>
      <w:r w:rsidRPr="00F07E60">
        <w:rPr>
          <w:i/>
          <w:sz w:val="23"/>
          <w:szCs w:val="23"/>
        </w:rPr>
        <w:t>Data Center Standards (Tier I-IV)</w:t>
      </w:r>
      <w:r w:rsidR="00514908">
        <w:rPr>
          <w:sz w:val="23"/>
          <w:szCs w:val="23"/>
        </w:rPr>
        <w:t>,</w:t>
      </w:r>
      <w:r>
        <w:rPr>
          <w:sz w:val="23"/>
          <w:szCs w:val="23"/>
        </w:rPr>
        <w:t>” (n.d.)</w:t>
      </w:r>
      <w:r w:rsidR="00514908">
        <w:rPr>
          <w:sz w:val="23"/>
          <w:szCs w:val="23"/>
        </w:rPr>
        <w:t xml:space="preserve">, </w:t>
      </w:r>
    </w:p>
    <w:p w14:paraId="470582CB" w14:textId="68937D00" w:rsidR="006C73B7" w:rsidRDefault="00D976AF" w:rsidP="006C73B7">
      <w:pPr>
        <w:spacing w:after="0"/>
        <w:ind w:left="720"/>
        <w:rPr>
          <w:sz w:val="23"/>
          <w:szCs w:val="23"/>
        </w:rPr>
      </w:pPr>
      <w:hyperlink r:id="rId4" w:history="1">
        <w:r w:rsidR="006C73B7" w:rsidRPr="009E5C9E">
          <w:rPr>
            <w:rStyle w:val="Hyperlink"/>
            <w:sz w:val="23"/>
            <w:szCs w:val="23"/>
          </w:rPr>
          <w:t>https://www.colocationamerica.com/data-center/tier-standards-overview.htm</w:t>
        </w:r>
      </w:hyperlink>
      <w:r w:rsidR="006C73B7">
        <w:rPr>
          <w:sz w:val="23"/>
          <w:szCs w:val="23"/>
        </w:rPr>
        <w:t xml:space="preserve">.  Accessed 9 </w:t>
      </w:r>
      <w:r w:rsidR="0017530F">
        <w:rPr>
          <w:sz w:val="23"/>
          <w:szCs w:val="23"/>
        </w:rPr>
        <w:t>Sept</w:t>
      </w:r>
      <w:r w:rsidR="006C73B7">
        <w:rPr>
          <w:sz w:val="23"/>
          <w:szCs w:val="23"/>
        </w:rPr>
        <w:t>. 2018.</w:t>
      </w:r>
    </w:p>
    <w:p w14:paraId="397771A6" w14:textId="77777777" w:rsidR="006C73B7" w:rsidRDefault="006C73B7" w:rsidP="006C73B7">
      <w:pPr>
        <w:spacing w:after="0"/>
        <w:rPr>
          <w:sz w:val="23"/>
          <w:szCs w:val="23"/>
        </w:rPr>
      </w:pPr>
    </w:p>
    <w:p w14:paraId="364FC738" w14:textId="4E0B9882" w:rsidR="006C73B7" w:rsidRDefault="006C73B7" w:rsidP="006C73B7">
      <w:pPr>
        <w:spacing w:after="0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Matt </w:t>
      </w:r>
      <w:proofErr w:type="spellStart"/>
      <w:r>
        <w:rPr>
          <w:sz w:val="23"/>
          <w:szCs w:val="23"/>
        </w:rPr>
        <w:t>Stansberry</w:t>
      </w:r>
      <w:proofErr w:type="spellEnd"/>
      <w:r>
        <w:rPr>
          <w:sz w:val="23"/>
          <w:szCs w:val="23"/>
        </w:rPr>
        <w:t>. “</w:t>
      </w:r>
      <w:r w:rsidRPr="00F07E60">
        <w:rPr>
          <w:sz w:val="23"/>
          <w:szCs w:val="23"/>
        </w:rPr>
        <w:t>Explaining Tiers</w:t>
      </w:r>
      <w:r>
        <w:rPr>
          <w:sz w:val="23"/>
          <w:szCs w:val="23"/>
        </w:rPr>
        <w:t xml:space="preserve">: </w:t>
      </w:r>
      <w:r w:rsidRPr="00F07E60">
        <w:rPr>
          <w:i/>
          <w:sz w:val="23"/>
          <w:szCs w:val="23"/>
        </w:rPr>
        <w:t>Explaining the Uptime Institute’s Tier Classification System</w:t>
      </w:r>
      <w:proofErr w:type="gramStart"/>
      <w:r>
        <w:rPr>
          <w:sz w:val="23"/>
          <w:szCs w:val="23"/>
        </w:rPr>
        <w:t>.</w:t>
      </w:r>
      <w:r w:rsidR="00514908">
        <w:rPr>
          <w:sz w:val="23"/>
          <w:szCs w:val="23"/>
        </w:rPr>
        <w:t>,</w:t>
      </w:r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 September 2014.  </w:t>
      </w:r>
      <w:hyperlink r:id="rId5" w:history="1">
        <w:r w:rsidRPr="009E5C9E">
          <w:rPr>
            <w:rStyle w:val="Hyperlink"/>
            <w:sz w:val="23"/>
            <w:szCs w:val="23"/>
          </w:rPr>
          <w:t>https://journal.uptimeinstitute.com/explaining-uptime-institutes-tier- classification-system/</w:t>
        </w:r>
      </w:hyperlink>
      <w:r>
        <w:rPr>
          <w:sz w:val="23"/>
          <w:szCs w:val="23"/>
        </w:rPr>
        <w:t xml:space="preserve"> Accessed </w:t>
      </w:r>
      <w:r w:rsidR="0017530F">
        <w:rPr>
          <w:sz w:val="23"/>
          <w:szCs w:val="23"/>
        </w:rPr>
        <w:t>9 Sept.</w:t>
      </w:r>
      <w:r>
        <w:rPr>
          <w:sz w:val="23"/>
          <w:szCs w:val="23"/>
        </w:rPr>
        <w:t xml:space="preserve"> 2018. </w:t>
      </w:r>
    </w:p>
    <w:p w14:paraId="2D9A87FC" w14:textId="77777777" w:rsidR="006C73B7" w:rsidRDefault="006C73B7" w:rsidP="006C73B7">
      <w:pPr>
        <w:spacing w:after="0"/>
        <w:ind w:left="720" w:hanging="720"/>
        <w:rPr>
          <w:sz w:val="23"/>
          <w:szCs w:val="23"/>
        </w:rPr>
      </w:pPr>
    </w:p>
    <w:p w14:paraId="1C5FA3D1" w14:textId="1DED2ABA" w:rsidR="006C73B7" w:rsidRDefault="006C73B7" w:rsidP="006C73B7">
      <w:pPr>
        <w:rPr>
          <w:sz w:val="23"/>
          <w:szCs w:val="23"/>
        </w:rPr>
      </w:pPr>
      <w:r>
        <w:rPr>
          <w:sz w:val="23"/>
          <w:szCs w:val="23"/>
        </w:rPr>
        <w:t xml:space="preserve">Uptime Institute, Professional Services, LLC. “Data Center Site Infrastructure Tier Standard: </w:t>
      </w:r>
      <w:r w:rsidR="00514908">
        <w:rPr>
          <w:sz w:val="23"/>
          <w:szCs w:val="23"/>
        </w:rPr>
        <w:tab/>
      </w:r>
      <w:r w:rsidRPr="003D3C1F">
        <w:rPr>
          <w:i/>
          <w:sz w:val="23"/>
          <w:szCs w:val="23"/>
        </w:rPr>
        <w:t>Topology</w:t>
      </w:r>
      <w:r>
        <w:rPr>
          <w:sz w:val="23"/>
          <w:szCs w:val="23"/>
        </w:rPr>
        <w:t>.” (n.d.), pp 1-7</w:t>
      </w:r>
      <w:r w:rsidR="00514908">
        <w:rPr>
          <w:sz w:val="23"/>
          <w:szCs w:val="23"/>
        </w:rPr>
        <w:t xml:space="preserve">, </w:t>
      </w:r>
      <w:hyperlink r:id="rId6" w:history="1">
        <w:r w:rsidR="00514908" w:rsidRPr="009E5C9E">
          <w:rPr>
            <w:rStyle w:val="Hyperlink"/>
            <w:sz w:val="23"/>
            <w:szCs w:val="23"/>
          </w:rPr>
          <w:t>http://www.gpxglobal.net/wp-</w:t>
        </w:r>
        <w:r w:rsidR="00514908" w:rsidRPr="009E5C9E">
          <w:rPr>
            <w:rStyle w:val="Hyperlink"/>
            <w:sz w:val="23"/>
            <w:szCs w:val="23"/>
          </w:rPr>
          <w:tab/>
          <w:t>content/uploads/2012/10/TIERSTANDARD_Topology_120801.pdf</w:t>
        </w:r>
      </w:hyperlink>
      <w:r w:rsidR="00514908">
        <w:rPr>
          <w:sz w:val="23"/>
          <w:szCs w:val="23"/>
        </w:rPr>
        <w:t xml:space="preserve">. Accessed 9 Sept.2018. </w:t>
      </w:r>
    </w:p>
    <w:p w14:paraId="7DE701ED" w14:textId="77777777" w:rsidR="00514908" w:rsidRDefault="00514908" w:rsidP="006C73B7">
      <w:pPr>
        <w:rPr>
          <w:sz w:val="23"/>
          <w:szCs w:val="23"/>
        </w:rPr>
      </w:pPr>
    </w:p>
    <w:p w14:paraId="1C03BC98" w14:textId="77777777" w:rsidR="00954CD6" w:rsidRDefault="00954CD6"/>
    <w:sectPr w:rsidR="00954CD6" w:rsidSect="001E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7C"/>
    <w:rsid w:val="0015400E"/>
    <w:rsid w:val="0017530F"/>
    <w:rsid w:val="001E43E6"/>
    <w:rsid w:val="002323F6"/>
    <w:rsid w:val="00294C7C"/>
    <w:rsid w:val="003768E5"/>
    <w:rsid w:val="003D3C1F"/>
    <w:rsid w:val="00481998"/>
    <w:rsid w:val="00484A9F"/>
    <w:rsid w:val="00514908"/>
    <w:rsid w:val="0060743E"/>
    <w:rsid w:val="00614C54"/>
    <w:rsid w:val="00647B26"/>
    <w:rsid w:val="006C1DA5"/>
    <w:rsid w:val="006C73B7"/>
    <w:rsid w:val="00833EC5"/>
    <w:rsid w:val="008569C7"/>
    <w:rsid w:val="00927684"/>
    <w:rsid w:val="00954CD6"/>
    <w:rsid w:val="00A04D2A"/>
    <w:rsid w:val="00B41309"/>
    <w:rsid w:val="00B96EEA"/>
    <w:rsid w:val="00B96F3D"/>
    <w:rsid w:val="00BE340D"/>
    <w:rsid w:val="00CC706A"/>
    <w:rsid w:val="00D976AF"/>
    <w:rsid w:val="00E11D92"/>
    <w:rsid w:val="00F07E60"/>
    <w:rsid w:val="00F8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111D"/>
  <w15:chartTrackingRefBased/>
  <w15:docId w15:val="{0D0EA216-5C13-4F65-A204-4CA9AAEB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">
    <w:name w:val="citation"/>
    <w:basedOn w:val="Normal"/>
    <w:rsid w:val="0083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3EC5"/>
    <w:rPr>
      <w:i/>
      <w:iCs/>
    </w:rPr>
  </w:style>
  <w:style w:type="character" w:styleId="Hyperlink">
    <w:name w:val="Hyperlink"/>
    <w:basedOn w:val="DefaultParagraphFont"/>
    <w:uiPriority w:val="99"/>
    <w:unhideWhenUsed/>
    <w:rsid w:val="00232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xglobal.net/wp-%09content/uploads/2012/10/TIERSTANDARD_Topology_120801.pdf" TargetMode="External"/><Relationship Id="rId5" Type="http://schemas.openxmlformats.org/officeDocument/2006/relationships/hyperlink" Target="https://journal.uptimeinstitute.com/explaining-uptime-institutes-tier-%20classification-system/" TargetMode="External"/><Relationship Id="rId4" Type="http://schemas.openxmlformats.org/officeDocument/2006/relationships/hyperlink" Target="https://www.colocationamerica.com/data-center/tier-standards-over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Fatai Saka</dc:creator>
  <cp:keywords/>
  <dc:description/>
  <cp:lastModifiedBy>Fatai Saka</cp:lastModifiedBy>
  <cp:revision>13</cp:revision>
  <dcterms:created xsi:type="dcterms:W3CDTF">2018-09-20T02:20:00Z</dcterms:created>
  <dcterms:modified xsi:type="dcterms:W3CDTF">2018-10-11T12:59:00Z</dcterms:modified>
</cp:coreProperties>
</file>