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84ABD" w:rsidR="00984ABD" w:rsidP="000B193F" w:rsidRDefault="00984ABD" w14:paraId="7ED24400" w14:textId="40F6942F">
      <w:pPr>
        <w:spacing w:after="0" w:line="48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984ABD">
        <w:rPr>
          <w:rFonts w:ascii="Arial" w:hAnsi="Arial" w:eastAsia="Times New Roman" w:cs="Arial"/>
          <w:color w:val="000000"/>
        </w:rPr>
        <w:t>George Weaver</w:t>
      </w:r>
    </w:p>
    <w:p w:rsidRPr="00984ABD" w:rsidR="00984ABD" w:rsidP="000B193F" w:rsidRDefault="00984ABD" w14:paraId="6387B121" w14:textId="77777777">
      <w:pPr>
        <w:spacing w:after="0" w:line="48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984ABD">
        <w:rPr>
          <w:rFonts w:ascii="Arial" w:hAnsi="Arial" w:eastAsia="Times New Roman" w:cs="Arial"/>
          <w:color w:val="000000"/>
        </w:rPr>
        <w:t>Enterprise It Architecture</w:t>
      </w:r>
    </w:p>
    <w:p w:rsidRPr="00984ABD" w:rsidR="00984ABD" w:rsidP="000B193F" w:rsidRDefault="00984ABD" w14:paraId="67A32603" w14:textId="77777777">
      <w:pPr>
        <w:spacing w:after="0" w:line="48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984ABD">
        <w:rPr>
          <w:rFonts w:ascii="Arial" w:hAnsi="Arial" w:eastAsia="Times New Roman" w:cs="Arial"/>
          <w:color w:val="000000"/>
        </w:rPr>
        <w:t>Martin Doyle</w:t>
      </w:r>
    </w:p>
    <w:p w:rsidR="008F66DD" w:rsidP="008F66DD" w:rsidRDefault="00984ABD" w14:paraId="616F664C" w14:textId="77777777">
      <w:pPr>
        <w:spacing w:after="0" w:line="48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984ABD">
        <w:rPr>
          <w:rFonts w:ascii="Arial" w:hAnsi="Arial" w:eastAsia="Times New Roman" w:cs="Arial"/>
          <w:color w:val="000000"/>
        </w:rPr>
        <w:t>Fall 2018</w:t>
      </w:r>
    </w:p>
    <w:p w:rsidRPr="008F66DD" w:rsidR="00984ABD" w:rsidP="375A6802" w:rsidRDefault="00984ABD" w14:paraId="72F57B80" w14:noSpellErr="1" w14:textId="5B8A0923">
      <w:pPr>
        <w:spacing w:after="0" w:line="48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375A6802" w:rsidR="375A6802">
        <w:rPr>
          <w:rFonts w:ascii="Arial" w:hAnsi="Arial" w:eastAsia="Times New Roman" w:cs="Arial"/>
          <w:color w:val="000000" w:themeColor="text1" w:themeTint="FF" w:themeShade="FF"/>
        </w:rPr>
        <w:t>Flash Research Paper #1: Data Center</w:t>
      </w:r>
      <w:r w:rsidRPr="375A6802" w:rsidR="375A6802">
        <w:rPr>
          <w:rFonts w:ascii="Arial" w:hAnsi="Arial" w:eastAsia="Times New Roman" w:cs="Arial"/>
          <w:color w:val="000000" w:themeColor="text1" w:themeTint="FF" w:themeShade="FF"/>
        </w:rPr>
        <w:t>s</w:t>
      </w:r>
      <w:r w:rsidRPr="375A6802" w:rsidR="375A6802">
        <w:rPr>
          <w:rFonts w:ascii="Arial" w:hAnsi="Arial" w:eastAsia="Times New Roman" w:cs="Arial"/>
          <w:color w:val="000000" w:themeColor="text1" w:themeTint="FF" w:themeShade="FF"/>
        </w:rPr>
        <w:t xml:space="preserve"> </w:t>
      </w:r>
      <w:r w:rsidRPr="375A6802" w:rsidR="375A6802">
        <w:rPr>
          <w:rFonts w:ascii="Arial" w:hAnsi="Arial" w:eastAsia="Times New Roman" w:cs="Arial"/>
          <w:color w:val="000000" w:themeColor="text1" w:themeTint="FF" w:themeShade="FF"/>
        </w:rPr>
        <w:t>a</w:t>
      </w:r>
      <w:r w:rsidRPr="375A6802" w:rsidR="375A6802">
        <w:rPr>
          <w:rFonts w:ascii="Arial" w:hAnsi="Arial" w:eastAsia="Times New Roman" w:cs="Arial"/>
          <w:color w:val="000000" w:themeColor="text1" w:themeTint="FF" w:themeShade="FF"/>
        </w:rPr>
        <w:t>nd Networking</w:t>
      </w:r>
    </w:p>
    <w:p w:rsidR="00D837EB" w:rsidP="000B193F" w:rsidRDefault="00D837EB" w14:paraId="49B9E221" w14:textId="77777777">
      <w:pPr>
        <w:spacing w:after="0" w:line="48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CF6C25" w:rsidP="375A6802" w:rsidRDefault="000D6126" w14:paraId="5BBE8618" w14:noSpellErr="1" w14:textId="1A629B59">
      <w:pPr>
        <w:spacing w:after="0" w:line="480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 w:rsidRPr="375A6802" w:rsidR="375A6802">
        <w:rPr>
          <w:rFonts w:ascii="Times New Roman" w:hAnsi="Times New Roman" w:eastAsia="Times New Roman" w:cs="Times New Roman"/>
          <w:sz w:val="24"/>
          <w:szCs w:val="24"/>
        </w:rPr>
        <w:t xml:space="preserve">Our company can generate ~ $13 Million in net benefits over three years by upgrading to a Tier 3 data center.  Those saving come from an increase in availability, because the new data center will have redundant components that independently </w:t>
      </w:r>
      <w:r w:rsidRPr="375A6802" w:rsidR="375A6802">
        <w:rPr>
          <w:rFonts w:ascii="Times New Roman" w:hAnsi="Times New Roman" w:eastAsia="Times New Roman" w:cs="Times New Roman"/>
          <w:sz w:val="24"/>
          <w:szCs w:val="24"/>
        </w:rPr>
        <w:t xml:space="preserve">keep </w:t>
      </w:r>
      <w:r w:rsidRPr="375A6802" w:rsidR="375A6802">
        <w:rPr>
          <w:rFonts w:ascii="Times New Roman" w:hAnsi="Times New Roman" w:eastAsia="Times New Roman" w:cs="Times New Roman"/>
          <w:sz w:val="24"/>
          <w:szCs w:val="24"/>
        </w:rPr>
        <w:t>computer equipment</w:t>
      </w:r>
      <w:r w:rsidRPr="375A6802" w:rsidR="375A6802">
        <w:rPr>
          <w:rFonts w:ascii="Times New Roman" w:hAnsi="Times New Roman" w:eastAsia="Times New Roman" w:cs="Times New Roman"/>
          <w:sz w:val="24"/>
          <w:szCs w:val="24"/>
        </w:rPr>
        <w:t xml:space="preserve"> operating</w:t>
      </w:r>
      <w:r w:rsidRPr="375A6802" w:rsidR="375A6802">
        <w:rPr>
          <w:rFonts w:ascii="Times New Roman" w:hAnsi="Times New Roman" w:eastAsia="Times New Roman" w:cs="Times New Roman"/>
          <w:sz w:val="24"/>
          <w:szCs w:val="24"/>
        </w:rPr>
        <w:t>. This increase in availability will save us $13 million in 3 years (figure 2).</w:t>
      </w:r>
    </w:p>
    <w:p w:rsidR="002F34D2" w:rsidP="00FC763A" w:rsidRDefault="000B5954" w14:paraId="0FADAAC4" w14:textId="2A655DF2">
      <w:pPr>
        <w:spacing w:after="0" w:line="480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The key capability to a Tier 3 data center is </w:t>
      </w:r>
      <w:r w:rsidR="00407A55">
        <w:rPr>
          <w:rFonts w:ascii="Times New Roman" w:hAnsi="Times New Roman" w:eastAsia="Times New Roman" w:cs="Times New Roman"/>
          <w:sz w:val="24"/>
          <w:szCs w:val="24"/>
        </w:rPr>
        <w:t xml:space="preserve">being </w:t>
      </w:r>
      <w:r w:rsidR="00821D38">
        <w:rPr>
          <w:rFonts w:ascii="Times New Roman" w:hAnsi="Times New Roman" w:eastAsia="Times New Roman" w:cs="Times New Roman"/>
          <w:sz w:val="24"/>
          <w:szCs w:val="24"/>
        </w:rPr>
        <w:t>concurrently maintainable</w:t>
      </w:r>
      <w:r w:rsidR="00C2247D">
        <w:rPr>
          <w:rFonts w:ascii="Times New Roman" w:hAnsi="Times New Roman" w:eastAsia="Times New Roman" w:cs="Times New Roman"/>
          <w:sz w:val="24"/>
          <w:szCs w:val="24"/>
        </w:rPr>
        <w:t>, or</w:t>
      </w:r>
      <w:r w:rsidR="00B01A3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5B21B4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00056B28" w:rsidR="005B21B4">
        <w:rPr>
          <w:rFonts w:ascii="Times New Roman" w:hAnsi="Times New Roman" w:eastAsia="Times New Roman" w:cs="Times New Roman"/>
          <w:sz w:val="24"/>
          <w:szCs w:val="24"/>
        </w:rPr>
        <w:t>allowing for any planned maintenance activity of power and cooling systems to take place without disrupting the operation of computer hardware located in the data center</w:t>
      </w:r>
      <w:r w:rsidR="005B21B4">
        <w:rPr>
          <w:rFonts w:ascii="Times New Roman" w:hAnsi="Times New Roman" w:eastAsia="Times New Roman" w:cs="Times New Roman"/>
          <w:sz w:val="24"/>
          <w:szCs w:val="24"/>
        </w:rPr>
        <w:t>”</w:t>
      </w:r>
      <w:sdt>
        <w:sdtPr>
          <w:rPr>
            <w:rFonts w:ascii="Times New Roman" w:hAnsi="Times New Roman" w:eastAsia="Times New Roman" w:cs="Times New Roman"/>
            <w:sz w:val="24"/>
            <w:szCs w:val="24"/>
          </w:rPr>
          <w:id w:val="-1028709535"/>
          <w:citation/>
        </w:sdtPr>
        <w:sdtContent>
          <w:r w:rsidR="005B21B4">
            <w:rPr>
              <w:rFonts w:ascii="Times New Roman" w:hAnsi="Times New Roman" w:eastAsia="Times New Roman" w:cs="Times New Roman"/>
              <w:sz w:val="24"/>
              <w:szCs w:val="24"/>
            </w:rPr>
            <w:fldChar w:fldCharType="begin"/>
          </w:r>
          <w:r w:rsidR="005B21B4">
            <w:rPr>
              <w:rFonts w:ascii="Times New Roman" w:hAnsi="Times New Roman" w:eastAsia="Times New Roman" w:cs="Times New Roman"/>
              <w:sz w:val="24"/>
              <w:szCs w:val="24"/>
            </w:rPr>
            <w:instrText xml:space="preserve"> CITATION Col15 \l 1033 </w:instrText>
          </w:r>
          <w:r w:rsidR="005B21B4">
            <w:rPr>
              <w:rFonts w:ascii="Times New Roman" w:hAnsi="Times New Roman" w:eastAsia="Times New Roman" w:cs="Times New Roman"/>
              <w:sz w:val="24"/>
              <w:szCs w:val="24"/>
            </w:rPr>
            <w:fldChar w:fldCharType="separate"/>
          </w:r>
          <w:r w:rsidR="005B21B4">
            <w:rPr>
              <w:rFonts w:ascii="Times New Roman" w:hAnsi="Times New Roman" w:eastAsia="Times New Roman" w:cs="Times New Roman"/>
              <w:noProof/>
              <w:sz w:val="24"/>
              <w:szCs w:val="24"/>
            </w:rPr>
            <w:t xml:space="preserve"> </w:t>
          </w:r>
          <w:r w:rsidRPr="0011748C" w:rsidR="005B21B4">
            <w:rPr>
              <w:rFonts w:ascii="Times New Roman" w:hAnsi="Times New Roman" w:eastAsia="Times New Roman" w:cs="Times New Roman"/>
              <w:noProof/>
              <w:sz w:val="24"/>
              <w:szCs w:val="24"/>
            </w:rPr>
            <w:t>(Colocation America, 2015)</w:t>
          </w:r>
          <w:r w:rsidR="005B21B4"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sdtContent>
      </w:sdt>
      <w:r w:rsidRPr="00FB7C77" w:rsidR="005B21B4">
        <w:rPr>
          <w:rFonts w:ascii="Times New Roman" w:hAnsi="Times New Roman" w:eastAsia="Times New Roman" w:cs="Times New Roman"/>
          <w:sz w:val="24"/>
          <w:szCs w:val="24"/>
        </w:rPr>
        <w:t>.</w:t>
      </w:r>
      <w:r w:rsidR="005B21B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6D179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5956F7">
        <w:rPr>
          <w:rFonts w:ascii="Times New Roman" w:hAnsi="Times New Roman" w:eastAsia="Times New Roman" w:cs="Times New Roman"/>
          <w:sz w:val="24"/>
          <w:szCs w:val="24"/>
        </w:rPr>
        <w:t>For example</w:t>
      </w:r>
      <w:r w:rsidR="009352AE">
        <w:rPr>
          <w:rFonts w:ascii="Times New Roman" w:hAnsi="Times New Roman" w:eastAsia="Times New Roman" w:cs="Times New Roman"/>
          <w:sz w:val="24"/>
          <w:szCs w:val="24"/>
        </w:rPr>
        <w:t xml:space="preserve">, an electrician </w:t>
      </w:r>
      <w:r w:rsidR="009072CD">
        <w:rPr>
          <w:rFonts w:ascii="Times New Roman" w:hAnsi="Times New Roman" w:eastAsia="Times New Roman" w:cs="Times New Roman"/>
          <w:sz w:val="24"/>
          <w:szCs w:val="24"/>
        </w:rPr>
        <w:t xml:space="preserve">could </w:t>
      </w:r>
      <w:r w:rsidR="009352AE">
        <w:rPr>
          <w:rFonts w:ascii="Times New Roman" w:hAnsi="Times New Roman" w:eastAsia="Times New Roman" w:cs="Times New Roman"/>
          <w:sz w:val="24"/>
          <w:szCs w:val="24"/>
        </w:rPr>
        <w:t>work on a power source, and the data center would</w:t>
      </w:r>
      <w:r w:rsidR="009072CD">
        <w:rPr>
          <w:rFonts w:ascii="Times New Roman" w:hAnsi="Times New Roman" w:eastAsia="Times New Roman" w:cs="Times New Roman"/>
          <w:sz w:val="24"/>
          <w:szCs w:val="24"/>
        </w:rPr>
        <w:t xml:space="preserve"> perform </w:t>
      </w:r>
      <w:r w:rsidR="002B3A4F">
        <w:rPr>
          <w:rFonts w:ascii="Times New Roman" w:hAnsi="Times New Roman" w:eastAsia="Times New Roman" w:cs="Times New Roman"/>
          <w:sz w:val="24"/>
          <w:szCs w:val="24"/>
        </w:rPr>
        <w:t>as if there w</w:t>
      </w:r>
      <w:r w:rsidR="00CA2ED8">
        <w:rPr>
          <w:rFonts w:ascii="Times New Roman" w:hAnsi="Times New Roman" w:eastAsia="Times New Roman" w:cs="Times New Roman"/>
          <w:sz w:val="24"/>
          <w:szCs w:val="24"/>
        </w:rPr>
        <w:t>er</w:t>
      </w:r>
      <w:r w:rsidR="00C15B8C">
        <w:rPr>
          <w:rFonts w:ascii="Times New Roman" w:hAnsi="Times New Roman" w:eastAsia="Times New Roman" w:cs="Times New Roman"/>
          <w:sz w:val="24"/>
          <w:szCs w:val="24"/>
        </w:rPr>
        <w:t>e</w:t>
      </w:r>
      <w:r w:rsidR="002B3A4F">
        <w:rPr>
          <w:rFonts w:ascii="Times New Roman" w:hAnsi="Times New Roman" w:eastAsia="Times New Roman" w:cs="Times New Roman"/>
          <w:sz w:val="24"/>
          <w:szCs w:val="24"/>
        </w:rPr>
        <w:t xml:space="preserve"> no maintenance</w:t>
      </w:r>
      <w:r w:rsidR="00D1271A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="007F765F">
        <w:rPr>
          <w:rFonts w:ascii="Times New Roman" w:hAnsi="Times New Roman" w:eastAsia="Times New Roman" w:cs="Times New Roman"/>
          <w:sz w:val="24"/>
          <w:szCs w:val="24"/>
        </w:rPr>
        <w:t>In a Tie</w:t>
      </w:r>
      <w:r w:rsidR="007E08D9">
        <w:rPr>
          <w:rFonts w:ascii="Times New Roman" w:hAnsi="Times New Roman" w:eastAsia="Times New Roman" w:cs="Times New Roman"/>
          <w:sz w:val="24"/>
          <w:szCs w:val="24"/>
        </w:rPr>
        <w:t xml:space="preserve">r 1 system, the data center would need to be shutdown </w:t>
      </w:r>
      <w:r w:rsidR="00CA2ED8">
        <w:rPr>
          <w:rFonts w:ascii="Times New Roman" w:hAnsi="Times New Roman" w:eastAsia="Times New Roman" w:cs="Times New Roman"/>
          <w:sz w:val="24"/>
          <w:szCs w:val="24"/>
        </w:rPr>
        <w:t>to perform that work.</w:t>
      </w:r>
    </w:p>
    <w:p w:rsidR="00841B1B" w:rsidP="375A6802" w:rsidRDefault="00A61D72" w14:paraId="0C67C228" w14:noSpellErr="1" w14:textId="23158CEC">
      <w:pPr>
        <w:spacing w:after="0" w:line="480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 w:rsidRPr="375A6802" w:rsidR="375A6802">
        <w:rPr>
          <w:rFonts w:ascii="Times New Roman" w:hAnsi="Times New Roman" w:eastAsia="Times New Roman" w:cs="Times New Roman"/>
          <w:sz w:val="24"/>
          <w:szCs w:val="24"/>
        </w:rPr>
        <w:t>By upgrading the data center to Tier 3 we reduce outages from 28 to 1.7 hours, saving $</w:t>
      </w:r>
      <w:r w:rsidRPr="375A6802" w:rsidR="375A6802">
        <w:rPr>
          <w:rFonts w:ascii="Times New Roman" w:hAnsi="Times New Roman" w:eastAsia="Times New Roman" w:cs="Times New Roman"/>
          <w:sz w:val="24"/>
          <w:szCs w:val="24"/>
        </w:rPr>
        <w:t>48</w:t>
      </w:r>
      <w:r w:rsidRPr="375A6802" w:rsidR="375A6802">
        <w:rPr>
          <w:rFonts w:ascii="Times New Roman" w:hAnsi="Times New Roman" w:eastAsia="Times New Roman" w:cs="Times New Roman"/>
          <w:sz w:val="24"/>
          <w:szCs w:val="24"/>
        </w:rPr>
        <w:t xml:space="preserve"> million in downtime costs over the next 3 years (figure 1). The $35 million cost of building and maintaining the data center will be recovered in 3 years, generating a $13 million in net benefits.  </w:t>
      </w:r>
      <w:bookmarkStart w:name="_GoBack" w:id="0"/>
      <w:bookmarkEnd w:id="0"/>
    </w:p>
    <w:p w:rsidR="002D308B" w:rsidP="00836665" w:rsidRDefault="00841B1B" w14:paraId="0A3DA02B" w14:textId="4F62FC7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Figure 1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075"/>
        <w:gridCol w:w="2430"/>
        <w:gridCol w:w="1890"/>
        <w:gridCol w:w="1350"/>
        <w:gridCol w:w="2700"/>
      </w:tblGrid>
      <w:tr w:rsidR="00D274DC" w:rsidTr="00D274DC" w14:paraId="03B55B1E" w14:textId="62DDAE51">
        <w:tc>
          <w:tcPr>
            <w:tcW w:w="1075" w:type="dxa"/>
          </w:tcPr>
          <w:p w:rsidR="00D274DC" w:rsidP="00841B1B" w:rsidRDefault="00D274DC" w14:paraId="79EED052" w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274DC" w:rsidP="00841B1B" w:rsidRDefault="00D274DC" w14:paraId="59BAE4DB" w14:textId="29E25BA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Downtime (min /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yr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D274DC" w:rsidP="00841B1B" w:rsidRDefault="00D274DC" w14:paraId="71EA8431" w14:textId="451DC31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Minutes per year</w:t>
            </w:r>
          </w:p>
        </w:tc>
        <w:tc>
          <w:tcPr>
            <w:tcW w:w="1350" w:type="dxa"/>
          </w:tcPr>
          <w:p w:rsidR="00D274DC" w:rsidP="00841B1B" w:rsidRDefault="00D274DC" w14:paraId="4CDE3573" w14:textId="6AFBD4F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availability</w:t>
            </w:r>
          </w:p>
        </w:tc>
        <w:tc>
          <w:tcPr>
            <w:tcW w:w="2700" w:type="dxa"/>
          </w:tcPr>
          <w:p w:rsidR="00D274DC" w:rsidP="00841B1B" w:rsidRDefault="00D274DC" w14:paraId="6D75385C" w14:textId="60DF3AB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Yearly Downtime Cost</w:t>
            </w:r>
          </w:p>
        </w:tc>
      </w:tr>
      <w:tr w:rsidR="00D274DC" w:rsidTr="00D274DC" w14:paraId="6D34DBA9" w14:textId="5ADB6975">
        <w:tc>
          <w:tcPr>
            <w:tcW w:w="1075" w:type="dxa"/>
          </w:tcPr>
          <w:p w:rsidR="00D274DC" w:rsidP="00841B1B" w:rsidRDefault="00D274DC" w14:paraId="5F75354F" w14:textId="7E9D5B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Tier 1</w:t>
            </w:r>
          </w:p>
        </w:tc>
        <w:tc>
          <w:tcPr>
            <w:tcW w:w="2430" w:type="dxa"/>
          </w:tcPr>
          <w:p w:rsidR="00D274DC" w:rsidP="00841B1B" w:rsidRDefault="00E05757" w14:paraId="2E8B065F" w14:textId="0E824BC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 w:rsidR="00611BCC">
              <w:rPr>
                <w:rFonts w:ascii="Times New Roman" w:hAnsi="Times New Roman" w:eastAsia="Times New Roman" w:cs="Times New Roman"/>
                <w:sz w:val="24"/>
                <w:szCs w:val="24"/>
              </w:rPr>
              <w:t>729</w:t>
            </w:r>
          </w:p>
        </w:tc>
        <w:tc>
          <w:tcPr>
            <w:tcW w:w="1890" w:type="dxa"/>
          </w:tcPr>
          <w:p w:rsidR="00D274DC" w:rsidP="00841B1B" w:rsidRDefault="00A5404C" w14:paraId="268028DB" w14:textId="1B00A9E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524160</w:t>
            </w:r>
          </w:p>
        </w:tc>
        <w:tc>
          <w:tcPr>
            <w:tcW w:w="1350" w:type="dxa"/>
          </w:tcPr>
          <w:p w:rsidR="00D274DC" w:rsidP="00841B1B" w:rsidRDefault="00FE2CCF" w14:paraId="1DAC11D5" w14:textId="1C44140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99.67%</w:t>
            </w:r>
          </w:p>
        </w:tc>
        <w:tc>
          <w:tcPr>
            <w:tcW w:w="2700" w:type="dxa"/>
          </w:tcPr>
          <w:p w:rsidR="00D274DC" w:rsidP="00841B1B" w:rsidRDefault="0064040F" w14:paraId="2E698E16" w14:textId="2A6074F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$2</w:t>
            </w:r>
            <w:r w:rsidR="003D38C1">
              <w:rPr>
                <w:rFonts w:ascii="Times New Roman" w:hAnsi="Times New Roman" w:eastAsia="Times New Roman" w:cs="Times New Roman"/>
                <w:sz w:val="24"/>
                <w:szCs w:val="24"/>
              </w:rPr>
              <w:t>5,589,200</w:t>
            </w:r>
          </w:p>
        </w:tc>
      </w:tr>
      <w:tr w:rsidR="00D274DC" w:rsidTr="00D274DC" w14:paraId="1660F837" w14:textId="0655D292">
        <w:tc>
          <w:tcPr>
            <w:tcW w:w="1075" w:type="dxa"/>
          </w:tcPr>
          <w:p w:rsidR="00D274DC" w:rsidP="00841B1B" w:rsidRDefault="00D274DC" w14:paraId="1FDBE6F2" w14:textId="4829F2F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Tier 3</w:t>
            </w:r>
          </w:p>
        </w:tc>
        <w:tc>
          <w:tcPr>
            <w:tcW w:w="2430" w:type="dxa"/>
          </w:tcPr>
          <w:p w:rsidR="00D274DC" w:rsidP="00841B1B" w:rsidRDefault="0064040F" w14:paraId="523791D4" w14:textId="01E4DAF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  <w:r w:rsidR="005E144E"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D274DC" w:rsidP="00841B1B" w:rsidRDefault="0064040F" w14:paraId="38E24988" w14:textId="06B8601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524160</w:t>
            </w:r>
          </w:p>
        </w:tc>
        <w:tc>
          <w:tcPr>
            <w:tcW w:w="1350" w:type="dxa"/>
          </w:tcPr>
          <w:p w:rsidR="00D274DC" w:rsidP="00841B1B" w:rsidRDefault="0064040F" w14:paraId="5C2BC63D" w14:textId="7AC13E2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99.98</w:t>
            </w:r>
            <w:r w:rsidR="00FE2CCF">
              <w:rPr>
                <w:rFonts w:ascii="Times New Roman" w:hAnsi="Times New Roman"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2700" w:type="dxa"/>
          </w:tcPr>
          <w:p w:rsidR="00D274DC" w:rsidP="00841B1B" w:rsidRDefault="0064040F" w14:paraId="257BECC1" w14:textId="41417F6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$</w:t>
            </w:r>
            <w:r w:rsidR="00006128">
              <w:rPr>
                <w:rFonts w:ascii="Times New Roman" w:hAnsi="Times New Roman" w:eastAsia="Times New Roman" w:cs="Times New Roman"/>
                <w:sz w:val="24"/>
                <w:szCs w:val="24"/>
              </w:rPr>
              <w:t>1,551,513</w:t>
            </w:r>
          </w:p>
        </w:tc>
      </w:tr>
      <w:tr w:rsidR="006232AB" w:rsidTr="00D274DC" w14:paraId="11F431AD" w14:textId="77777777">
        <w:tc>
          <w:tcPr>
            <w:tcW w:w="1075" w:type="dxa"/>
          </w:tcPr>
          <w:p w:rsidR="006232AB" w:rsidP="00841B1B" w:rsidRDefault="006232AB" w14:paraId="40C53522" w14:textId="0C1F63E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Savings</w:t>
            </w:r>
          </w:p>
        </w:tc>
        <w:tc>
          <w:tcPr>
            <w:tcW w:w="2430" w:type="dxa"/>
          </w:tcPr>
          <w:p w:rsidR="006232AB" w:rsidP="00841B1B" w:rsidRDefault="006232AB" w14:paraId="689428A0" w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232AB" w:rsidP="00841B1B" w:rsidRDefault="006232AB" w14:paraId="16E762B6" w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232AB" w:rsidP="00841B1B" w:rsidRDefault="006232AB" w14:paraId="45C298C3" w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6232AB" w:rsidP="00841B1B" w:rsidRDefault="006232AB" w14:paraId="556B56F7" w14:textId="2AD18AD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$24,0</w:t>
            </w:r>
            <w:r w:rsidR="00DB1450">
              <w:rPr>
                <w:rFonts w:ascii="Times New Roman" w:hAnsi="Times New Roman" w:eastAsia="Times New Roman" w:cs="Times New Roman"/>
                <w:sz w:val="24"/>
                <w:szCs w:val="24"/>
              </w:rPr>
              <w:t>37,687</w:t>
            </w:r>
          </w:p>
        </w:tc>
      </w:tr>
    </w:tbl>
    <w:p w:rsidR="00D837EB" w:rsidP="00456BDD" w:rsidRDefault="00D837EB" w14:paraId="53C52E57" w14:textId="77777777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CB2DDF" w:rsidP="00456BDD" w:rsidRDefault="00CB2DDF" w14:paraId="424E81A5" w14:textId="7B24F483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lastRenderedPageBreak/>
        <w:t>Figure 2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072"/>
        <w:gridCol w:w="2412"/>
        <w:gridCol w:w="1878"/>
        <w:gridCol w:w="1416"/>
        <w:gridCol w:w="2667"/>
      </w:tblGrid>
      <w:tr w:rsidR="003F061C" w:rsidTr="00D42A90" w14:paraId="1EA7588C" w14:textId="77777777">
        <w:tc>
          <w:tcPr>
            <w:tcW w:w="1075" w:type="dxa"/>
          </w:tcPr>
          <w:p w:rsidR="003F061C" w:rsidP="00D42A90" w:rsidRDefault="003F061C" w14:paraId="49876917" w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3F061C" w:rsidP="00D42A90" w:rsidRDefault="003F061C" w14:paraId="6AD767E7" w14:textId="5285559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Year 1</w:t>
            </w:r>
          </w:p>
        </w:tc>
        <w:tc>
          <w:tcPr>
            <w:tcW w:w="1890" w:type="dxa"/>
          </w:tcPr>
          <w:p w:rsidR="003F061C" w:rsidP="00D42A90" w:rsidRDefault="003F061C" w14:paraId="64B9ECDF" w14:textId="69B7E87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Year 2</w:t>
            </w:r>
          </w:p>
        </w:tc>
        <w:tc>
          <w:tcPr>
            <w:tcW w:w="1350" w:type="dxa"/>
          </w:tcPr>
          <w:p w:rsidR="003F061C" w:rsidP="00D42A90" w:rsidRDefault="003F061C" w14:paraId="4BC10CD7" w14:textId="2C77B12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Year 3</w:t>
            </w:r>
          </w:p>
        </w:tc>
        <w:tc>
          <w:tcPr>
            <w:tcW w:w="2700" w:type="dxa"/>
          </w:tcPr>
          <w:p w:rsidR="003F061C" w:rsidP="00D42A90" w:rsidRDefault="003F061C" w14:paraId="4816682D" w14:textId="6C6B828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Total</w:t>
            </w:r>
          </w:p>
        </w:tc>
      </w:tr>
      <w:tr w:rsidR="003F061C" w:rsidTr="00D42A90" w14:paraId="56FDDD2D" w14:textId="77777777">
        <w:tc>
          <w:tcPr>
            <w:tcW w:w="1075" w:type="dxa"/>
          </w:tcPr>
          <w:p w:rsidR="003F061C" w:rsidP="003F061C" w:rsidRDefault="003F061C" w14:paraId="14FCB04E" w14:textId="161F036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Cost </w:t>
            </w:r>
          </w:p>
        </w:tc>
        <w:tc>
          <w:tcPr>
            <w:tcW w:w="2430" w:type="dxa"/>
          </w:tcPr>
          <w:p w:rsidR="003F061C" w:rsidP="00D42A90" w:rsidRDefault="00E067ED" w14:paraId="3D0451B7" w14:textId="08F515D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$35,000,000.00</w:t>
            </w:r>
          </w:p>
        </w:tc>
        <w:tc>
          <w:tcPr>
            <w:tcW w:w="1890" w:type="dxa"/>
          </w:tcPr>
          <w:p w:rsidR="003F061C" w:rsidP="00D42A90" w:rsidRDefault="003F061C" w14:paraId="69BFA7DA" w14:textId="7462B8E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3F061C" w:rsidP="00D42A90" w:rsidRDefault="00E067ED" w14:paraId="7897563F" w14:textId="4796700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:rsidR="003F061C" w:rsidP="00D42A90" w:rsidRDefault="003F061C" w14:paraId="60D498FC" w14:textId="433E68A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$</w:t>
            </w:r>
            <w:r w:rsidR="00E067ED">
              <w:rPr>
                <w:rFonts w:ascii="Times New Roman" w:hAnsi="Times New Roman" w:eastAsia="Times New Roman" w:cs="Times New Roman"/>
                <w:sz w:val="24"/>
                <w:szCs w:val="24"/>
              </w:rPr>
              <w:t>35,000,000</w:t>
            </w:r>
          </w:p>
        </w:tc>
      </w:tr>
      <w:tr w:rsidR="003F061C" w:rsidTr="00D42A90" w14:paraId="28DA5EFB" w14:textId="77777777">
        <w:tc>
          <w:tcPr>
            <w:tcW w:w="1075" w:type="dxa"/>
          </w:tcPr>
          <w:p w:rsidR="003F061C" w:rsidP="00D42A90" w:rsidRDefault="00F6528B" w14:paraId="641AFB2F" w14:textId="59E8696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Savings</w:t>
            </w:r>
          </w:p>
        </w:tc>
        <w:tc>
          <w:tcPr>
            <w:tcW w:w="2430" w:type="dxa"/>
          </w:tcPr>
          <w:p w:rsidR="003F061C" w:rsidP="00D42A90" w:rsidRDefault="00F6528B" w14:paraId="7A23333B" w14:textId="49E6E7C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</w:tcPr>
          <w:p w:rsidR="003F061C" w:rsidP="00D42A90" w:rsidRDefault="00DB1450" w14:paraId="3371539F" w14:textId="2B87C65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$24,037,687</w:t>
            </w:r>
          </w:p>
        </w:tc>
        <w:tc>
          <w:tcPr>
            <w:tcW w:w="1350" w:type="dxa"/>
          </w:tcPr>
          <w:p w:rsidR="003F061C" w:rsidP="00D42A90" w:rsidRDefault="00DB1450" w14:paraId="1DA1D7E6" w14:textId="5364163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$24,037,687</w:t>
            </w:r>
          </w:p>
        </w:tc>
        <w:tc>
          <w:tcPr>
            <w:tcW w:w="2700" w:type="dxa"/>
          </w:tcPr>
          <w:p w:rsidR="003F061C" w:rsidP="00D42A90" w:rsidRDefault="00D92D0B" w14:paraId="64E463ED" w14:textId="0D29E03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$48,</w:t>
            </w:r>
            <w:r w:rsidR="00714A53">
              <w:rPr>
                <w:rFonts w:ascii="Times New Roman" w:hAnsi="Times New Roman" w:eastAsia="Times New Roman" w:cs="Times New Roman"/>
                <w:sz w:val="24"/>
                <w:szCs w:val="24"/>
              </w:rPr>
              <w:t>075</w:t>
            </w:r>
            <w:r w:rsidR="00735169">
              <w:rPr>
                <w:rFonts w:ascii="Times New Roman" w:hAnsi="Times New Roman" w:eastAsia="Times New Roman" w:cs="Times New Roman"/>
                <w:sz w:val="24"/>
                <w:szCs w:val="24"/>
              </w:rPr>
              <w:t>,</w:t>
            </w:r>
            <w:r w:rsidR="00714A53">
              <w:rPr>
                <w:rFonts w:ascii="Times New Roman" w:hAnsi="Times New Roman" w:eastAsia="Times New Roman" w:cs="Times New Roman"/>
                <w:sz w:val="24"/>
                <w:szCs w:val="24"/>
              </w:rPr>
              <w:t>374</w:t>
            </w:r>
          </w:p>
        </w:tc>
      </w:tr>
      <w:tr w:rsidR="00D92D0B" w:rsidTr="00D42A90" w14:paraId="6EB3E7A6" w14:textId="77777777">
        <w:tc>
          <w:tcPr>
            <w:tcW w:w="1075" w:type="dxa"/>
          </w:tcPr>
          <w:p w:rsidR="00D92D0B" w:rsidP="00D92D0B" w:rsidRDefault="00D92D0B" w14:paraId="41E483C5" w14:textId="172EF64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92D0B" w:rsidP="00D42A90" w:rsidRDefault="00D92D0B" w14:paraId="769FE4CB" w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92D0B" w:rsidP="00D42A90" w:rsidRDefault="00D92D0B" w14:paraId="6F1943D8" w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92D0B" w:rsidP="00D42A90" w:rsidRDefault="00D92D0B" w14:paraId="374C984D" w14:textId="45CED47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Net savings</w:t>
            </w:r>
          </w:p>
        </w:tc>
        <w:tc>
          <w:tcPr>
            <w:tcW w:w="2700" w:type="dxa"/>
          </w:tcPr>
          <w:p w:rsidR="00D92D0B" w:rsidP="00D42A90" w:rsidRDefault="00CB2DDF" w14:paraId="107B8BEE" w14:textId="1955D71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$13,0</w:t>
            </w:r>
            <w:r w:rsidR="00735169">
              <w:rPr>
                <w:rFonts w:ascii="Times New Roman" w:hAnsi="Times New Roman" w:eastAsia="Times New Roman" w:cs="Times New Roman"/>
                <w:sz w:val="24"/>
                <w:szCs w:val="24"/>
              </w:rPr>
              <w:t>75,374</w:t>
            </w:r>
          </w:p>
        </w:tc>
      </w:tr>
      <w:tr w:rsidR="006232AB" w:rsidTr="00D42A90" w14:paraId="5C16CA60" w14:textId="77777777">
        <w:tc>
          <w:tcPr>
            <w:tcW w:w="1075" w:type="dxa"/>
          </w:tcPr>
          <w:p w:rsidR="006232AB" w:rsidP="00D92D0B" w:rsidRDefault="006232AB" w14:paraId="249183F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232AB" w:rsidP="00D42A90" w:rsidRDefault="006232AB" w14:paraId="7D8113DD" w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232AB" w:rsidP="00D42A90" w:rsidRDefault="006232AB" w14:paraId="5BE403C3" w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232AB" w:rsidP="00D42A90" w:rsidRDefault="006232AB" w14:paraId="5571410E" w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6232AB" w:rsidP="00D42A90" w:rsidRDefault="006232AB" w14:paraId="74D9A188" w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CB2DDF" w:rsidTr="00D42A90" w14:paraId="32300972" w14:textId="77777777">
        <w:tc>
          <w:tcPr>
            <w:tcW w:w="1075" w:type="dxa"/>
          </w:tcPr>
          <w:p w:rsidR="00CB2DDF" w:rsidP="00D92D0B" w:rsidRDefault="00210671" w14:paraId="048198FB" w14:textId="390A468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ROI</w:t>
            </w:r>
          </w:p>
        </w:tc>
        <w:tc>
          <w:tcPr>
            <w:tcW w:w="2430" w:type="dxa"/>
          </w:tcPr>
          <w:p w:rsidR="00CB2DDF" w:rsidP="00D42A90" w:rsidRDefault="00210671" w14:paraId="7AD6953E" w14:textId="0DB7FE8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0%</w:t>
            </w:r>
          </w:p>
        </w:tc>
        <w:tc>
          <w:tcPr>
            <w:tcW w:w="1890" w:type="dxa"/>
          </w:tcPr>
          <w:p w:rsidR="00CB2DDF" w:rsidP="00D42A90" w:rsidRDefault="00817575" w14:paraId="15287758" w14:textId="0BB8BEC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68.7%</w:t>
            </w:r>
          </w:p>
        </w:tc>
        <w:tc>
          <w:tcPr>
            <w:tcW w:w="1350" w:type="dxa"/>
          </w:tcPr>
          <w:p w:rsidR="00CB2DDF" w:rsidP="00D42A90" w:rsidRDefault="005F567F" w14:paraId="4C771C59" w14:textId="4982D20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137%</w:t>
            </w:r>
          </w:p>
        </w:tc>
        <w:tc>
          <w:tcPr>
            <w:tcW w:w="2700" w:type="dxa"/>
          </w:tcPr>
          <w:p w:rsidR="00CB2DDF" w:rsidP="00D42A90" w:rsidRDefault="00CB2DDF" w14:paraId="108750B6" w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Pr="0076215E" w:rsidR="0076215E" w:rsidP="0076215E" w:rsidRDefault="0076215E" w14:paraId="45714A7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sdt>
      <w:sdtPr>
        <w:id w:val="-1659771072"/>
        <w:docPartObj>
          <w:docPartGallery w:val="Bibliographies"/>
          <w:docPartUnique/>
        </w:docPartObj>
      </w:sdtPr>
      <w:sdtEndPr>
        <w:rPr>
          <w:b/>
          <w:bCs/>
        </w:rPr>
      </w:sdtEndPr>
      <w:sdtContent>
        <w:p w:rsidR="0011748C" w:rsidP="0011748C" w:rsidRDefault="00D456E9" w14:paraId="66D443EE" w14:textId="77777777">
          <w:pPr>
            <w:pStyle w:val="Bibliography"/>
            <w:ind w:left="720" w:hanging="720"/>
            <w:rPr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BIBLIOGRAPHY </w:instrText>
          </w:r>
          <w:r>
            <w:fldChar w:fldCharType="separate"/>
          </w:r>
          <w:r w:rsidR="0011748C">
            <w:rPr>
              <w:noProof/>
            </w:rPr>
            <w:t xml:space="preserve">Colocation America. (2015). </w:t>
          </w:r>
          <w:r w:rsidR="0011748C">
            <w:rPr>
              <w:i/>
              <w:iCs/>
              <w:noProof/>
            </w:rPr>
            <w:t>WHAT IS THE UPTIME INSTITUTE’S TIER STANDARD SYSTEM?</w:t>
          </w:r>
          <w:r w:rsidR="0011748C">
            <w:rPr>
              <w:noProof/>
            </w:rPr>
            <w:t xml:space="preserve"> Retrieved from ColocationAmerica.com: https://www.colocationamerica.com/data-center/tier-standards-overview.htm</w:t>
          </w:r>
        </w:p>
        <w:p w:rsidR="0011748C" w:rsidP="0011748C" w:rsidRDefault="0011748C" w14:paraId="10E05EA7" w14:textId="77777777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Uptime Institute. (2009). </w:t>
          </w:r>
          <w:r>
            <w:rPr>
              <w:i/>
              <w:iCs/>
              <w:noProof/>
            </w:rPr>
            <w:t>Data Center Site Infrastructire Tier Standard: Topology .</w:t>
          </w:r>
          <w:r>
            <w:rPr>
              <w:noProof/>
            </w:rPr>
            <w:t xml:space="preserve"> New York, Ney York: Uptime Institute Professional Services.</w:t>
          </w:r>
        </w:p>
        <w:p w:rsidR="0011748C" w:rsidP="0011748C" w:rsidRDefault="0011748C" w14:paraId="0A9BF14E" w14:textId="77777777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Volico . (2016, june 6). </w:t>
          </w:r>
          <w:r>
            <w:rPr>
              <w:i/>
              <w:iCs/>
              <w:noProof/>
            </w:rPr>
            <w:t>Understanding Data Center Tiers And The Importance Of Tier IV Data Centers</w:t>
          </w:r>
          <w:r>
            <w:rPr>
              <w:noProof/>
            </w:rPr>
            <w:t>. Retrieved from volico.com: https://www.volico.com/understanding-data-center-tiers-and-the-importance-of-tier-iv-data-centers/</w:t>
          </w:r>
        </w:p>
        <w:p w:rsidRPr="0011748C" w:rsidR="00841B1B" w:rsidP="0011748C" w:rsidRDefault="00D456E9" w14:paraId="119841B9" w14:textId="1BB0EC51">
          <w:r>
            <w:rPr>
              <w:b/>
              <w:bCs/>
            </w:rPr>
            <w:fldChar w:fldCharType="end"/>
          </w:r>
        </w:p>
      </w:sdtContent>
    </w:sdt>
    <w:sectPr w:rsidRPr="0011748C" w:rsidR="00841B1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BD"/>
    <w:rsid w:val="000027B0"/>
    <w:rsid w:val="00006128"/>
    <w:rsid w:val="00012880"/>
    <w:rsid w:val="00012C31"/>
    <w:rsid w:val="000134C5"/>
    <w:rsid w:val="00014E35"/>
    <w:rsid w:val="000202AA"/>
    <w:rsid w:val="00031B1E"/>
    <w:rsid w:val="00044C99"/>
    <w:rsid w:val="00056B28"/>
    <w:rsid w:val="00076AF6"/>
    <w:rsid w:val="0008095E"/>
    <w:rsid w:val="000872A0"/>
    <w:rsid w:val="000874A6"/>
    <w:rsid w:val="00087A41"/>
    <w:rsid w:val="00093953"/>
    <w:rsid w:val="000A1E31"/>
    <w:rsid w:val="000A2774"/>
    <w:rsid w:val="000A2DBD"/>
    <w:rsid w:val="000A582D"/>
    <w:rsid w:val="000A6E73"/>
    <w:rsid w:val="000B193F"/>
    <w:rsid w:val="000B5954"/>
    <w:rsid w:val="000B64D0"/>
    <w:rsid w:val="000C1983"/>
    <w:rsid w:val="000C2332"/>
    <w:rsid w:val="000C3396"/>
    <w:rsid w:val="000C4175"/>
    <w:rsid w:val="000C5AC4"/>
    <w:rsid w:val="000D5E5B"/>
    <w:rsid w:val="000D6126"/>
    <w:rsid w:val="000D7C54"/>
    <w:rsid w:val="000E6686"/>
    <w:rsid w:val="0011748C"/>
    <w:rsid w:val="00122EC6"/>
    <w:rsid w:val="00134746"/>
    <w:rsid w:val="001377B6"/>
    <w:rsid w:val="00144919"/>
    <w:rsid w:val="001774F1"/>
    <w:rsid w:val="00185B3F"/>
    <w:rsid w:val="001A26CB"/>
    <w:rsid w:val="001B31AF"/>
    <w:rsid w:val="001B4B54"/>
    <w:rsid w:val="001C0F34"/>
    <w:rsid w:val="001C43D8"/>
    <w:rsid w:val="001E5D5B"/>
    <w:rsid w:val="001F3C01"/>
    <w:rsid w:val="001F3DAA"/>
    <w:rsid w:val="00203BAC"/>
    <w:rsid w:val="00204266"/>
    <w:rsid w:val="00204448"/>
    <w:rsid w:val="00205A9A"/>
    <w:rsid w:val="00210671"/>
    <w:rsid w:val="002121EB"/>
    <w:rsid w:val="00221448"/>
    <w:rsid w:val="00237572"/>
    <w:rsid w:val="002616A4"/>
    <w:rsid w:val="00265D9C"/>
    <w:rsid w:val="00273FB6"/>
    <w:rsid w:val="00274126"/>
    <w:rsid w:val="0029715C"/>
    <w:rsid w:val="002B3A4F"/>
    <w:rsid w:val="002B7919"/>
    <w:rsid w:val="002D308B"/>
    <w:rsid w:val="002D4452"/>
    <w:rsid w:val="002E18BE"/>
    <w:rsid w:val="002E5C00"/>
    <w:rsid w:val="002F0D87"/>
    <w:rsid w:val="002F31C6"/>
    <w:rsid w:val="002F34D2"/>
    <w:rsid w:val="00313839"/>
    <w:rsid w:val="0031704A"/>
    <w:rsid w:val="0032076E"/>
    <w:rsid w:val="00322AF8"/>
    <w:rsid w:val="0032635E"/>
    <w:rsid w:val="00326EF0"/>
    <w:rsid w:val="00332C28"/>
    <w:rsid w:val="00335DE2"/>
    <w:rsid w:val="00364379"/>
    <w:rsid w:val="00366675"/>
    <w:rsid w:val="00383FE8"/>
    <w:rsid w:val="00391E29"/>
    <w:rsid w:val="003B1485"/>
    <w:rsid w:val="003D0377"/>
    <w:rsid w:val="003D38C1"/>
    <w:rsid w:val="003D5826"/>
    <w:rsid w:val="003D591F"/>
    <w:rsid w:val="003F061C"/>
    <w:rsid w:val="003F117A"/>
    <w:rsid w:val="003F1D78"/>
    <w:rsid w:val="003F71F8"/>
    <w:rsid w:val="004078CD"/>
    <w:rsid w:val="004078D3"/>
    <w:rsid w:val="00407A55"/>
    <w:rsid w:val="0042190C"/>
    <w:rsid w:val="00427AD3"/>
    <w:rsid w:val="00440FD0"/>
    <w:rsid w:val="004453A8"/>
    <w:rsid w:val="004520C5"/>
    <w:rsid w:val="004563CD"/>
    <w:rsid w:val="00456BDD"/>
    <w:rsid w:val="004617E5"/>
    <w:rsid w:val="00471E6A"/>
    <w:rsid w:val="00480B0C"/>
    <w:rsid w:val="00490D53"/>
    <w:rsid w:val="004A049C"/>
    <w:rsid w:val="004A7001"/>
    <w:rsid w:val="004B1ED2"/>
    <w:rsid w:val="004C68AE"/>
    <w:rsid w:val="004D3D07"/>
    <w:rsid w:val="00510075"/>
    <w:rsid w:val="0054221D"/>
    <w:rsid w:val="00562C70"/>
    <w:rsid w:val="00563E2C"/>
    <w:rsid w:val="00564875"/>
    <w:rsid w:val="005871FB"/>
    <w:rsid w:val="005956F7"/>
    <w:rsid w:val="00597E49"/>
    <w:rsid w:val="005A6142"/>
    <w:rsid w:val="005B167A"/>
    <w:rsid w:val="005B21B4"/>
    <w:rsid w:val="005D6953"/>
    <w:rsid w:val="005E144E"/>
    <w:rsid w:val="005E4DA2"/>
    <w:rsid w:val="005F4F64"/>
    <w:rsid w:val="005F567F"/>
    <w:rsid w:val="00603CA2"/>
    <w:rsid w:val="00611BCC"/>
    <w:rsid w:val="0061769E"/>
    <w:rsid w:val="00617879"/>
    <w:rsid w:val="006232AB"/>
    <w:rsid w:val="00633E39"/>
    <w:rsid w:val="0064040F"/>
    <w:rsid w:val="006404C1"/>
    <w:rsid w:val="00643FF5"/>
    <w:rsid w:val="006525AF"/>
    <w:rsid w:val="00662421"/>
    <w:rsid w:val="00675BF0"/>
    <w:rsid w:val="00695891"/>
    <w:rsid w:val="006D1798"/>
    <w:rsid w:val="006D3297"/>
    <w:rsid w:val="006D3BEA"/>
    <w:rsid w:val="006E1C92"/>
    <w:rsid w:val="006E2C23"/>
    <w:rsid w:val="006F0A97"/>
    <w:rsid w:val="006F1C3C"/>
    <w:rsid w:val="00714A53"/>
    <w:rsid w:val="00720B5B"/>
    <w:rsid w:val="00733AC5"/>
    <w:rsid w:val="00735169"/>
    <w:rsid w:val="007406D7"/>
    <w:rsid w:val="00741AF9"/>
    <w:rsid w:val="00742BF9"/>
    <w:rsid w:val="0075227F"/>
    <w:rsid w:val="0075740D"/>
    <w:rsid w:val="0076215E"/>
    <w:rsid w:val="0079087C"/>
    <w:rsid w:val="00792446"/>
    <w:rsid w:val="007A3296"/>
    <w:rsid w:val="007C0566"/>
    <w:rsid w:val="007C4A4F"/>
    <w:rsid w:val="007D390D"/>
    <w:rsid w:val="007E08D9"/>
    <w:rsid w:val="007E5743"/>
    <w:rsid w:val="007F765F"/>
    <w:rsid w:val="008065EE"/>
    <w:rsid w:val="00807BD9"/>
    <w:rsid w:val="00817575"/>
    <w:rsid w:val="00821D38"/>
    <w:rsid w:val="00827063"/>
    <w:rsid w:val="00834968"/>
    <w:rsid w:val="00836665"/>
    <w:rsid w:val="00841B1B"/>
    <w:rsid w:val="00847CCD"/>
    <w:rsid w:val="00850B52"/>
    <w:rsid w:val="0086015D"/>
    <w:rsid w:val="00870DC1"/>
    <w:rsid w:val="00872130"/>
    <w:rsid w:val="00876AC8"/>
    <w:rsid w:val="008825B1"/>
    <w:rsid w:val="00891630"/>
    <w:rsid w:val="008A0979"/>
    <w:rsid w:val="008A1DE5"/>
    <w:rsid w:val="008A324A"/>
    <w:rsid w:val="008A44CD"/>
    <w:rsid w:val="008A468A"/>
    <w:rsid w:val="008B7429"/>
    <w:rsid w:val="008E43C4"/>
    <w:rsid w:val="008F3BA7"/>
    <w:rsid w:val="008F66DD"/>
    <w:rsid w:val="009072CD"/>
    <w:rsid w:val="00911EAD"/>
    <w:rsid w:val="009262DD"/>
    <w:rsid w:val="009352AE"/>
    <w:rsid w:val="00950A6A"/>
    <w:rsid w:val="00960F77"/>
    <w:rsid w:val="009639D8"/>
    <w:rsid w:val="009644D2"/>
    <w:rsid w:val="00981113"/>
    <w:rsid w:val="00984ABD"/>
    <w:rsid w:val="00990D7E"/>
    <w:rsid w:val="009961BE"/>
    <w:rsid w:val="009B5CCF"/>
    <w:rsid w:val="009D121C"/>
    <w:rsid w:val="00A016F5"/>
    <w:rsid w:val="00A056A3"/>
    <w:rsid w:val="00A15701"/>
    <w:rsid w:val="00A217DA"/>
    <w:rsid w:val="00A23AA3"/>
    <w:rsid w:val="00A30216"/>
    <w:rsid w:val="00A42A8A"/>
    <w:rsid w:val="00A45B65"/>
    <w:rsid w:val="00A5404C"/>
    <w:rsid w:val="00A61D55"/>
    <w:rsid w:val="00A61D72"/>
    <w:rsid w:val="00A656FF"/>
    <w:rsid w:val="00A855A7"/>
    <w:rsid w:val="00A9488B"/>
    <w:rsid w:val="00A96FD8"/>
    <w:rsid w:val="00A97152"/>
    <w:rsid w:val="00A972B1"/>
    <w:rsid w:val="00AB0B56"/>
    <w:rsid w:val="00AD3146"/>
    <w:rsid w:val="00B01A34"/>
    <w:rsid w:val="00B157AF"/>
    <w:rsid w:val="00B243B5"/>
    <w:rsid w:val="00B309D6"/>
    <w:rsid w:val="00B36287"/>
    <w:rsid w:val="00B431B3"/>
    <w:rsid w:val="00B52ED3"/>
    <w:rsid w:val="00B66B70"/>
    <w:rsid w:val="00B774D0"/>
    <w:rsid w:val="00B820B5"/>
    <w:rsid w:val="00B8524A"/>
    <w:rsid w:val="00B90E48"/>
    <w:rsid w:val="00B92897"/>
    <w:rsid w:val="00B93D07"/>
    <w:rsid w:val="00B95427"/>
    <w:rsid w:val="00BA4DAE"/>
    <w:rsid w:val="00BA5301"/>
    <w:rsid w:val="00BC2D4F"/>
    <w:rsid w:val="00BD1296"/>
    <w:rsid w:val="00BD7AD3"/>
    <w:rsid w:val="00BF3171"/>
    <w:rsid w:val="00BF6656"/>
    <w:rsid w:val="00C04A1D"/>
    <w:rsid w:val="00C12F34"/>
    <w:rsid w:val="00C14A39"/>
    <w:rsid w:val="00C15B8C"/>
    <w:rsid w:val="00C2247D"/>
    <w:rsid w:val="00C2253A"/>
    <w:rsid w:val="00C32581"/>
    <w:rsid w:val="00C60614"/>
    <w:rsid w:val="00C71E44"/>
    <w:rsid w:val="00C71FAD"/>
    <w:rsid w:val="00C80427"/>
    <w:rsid w:val="00C92057"/>
    <w:rsid w:val="00C9309F"/>
    <w:rsid w:val="00C9746D"/>
    <w:rsid w:val="00CA2ED8"/>
    <w:rsid w:val="00CA7021"/>
    <w:rsid w:val="00CB2DDF"/>
    <w:rsid w:val="00CC1629"/>
    <w:rsid w:val="00CD1CA8"/>
    <w:rsid w:val="00CE497A"/>
    <w:rsid w:val="00CF2E7C"/>
    <w:rsid w:val="00CF6C25"/>
    <w:rsid w:val="00D029E3"/>
    <w:rsid w:val="00D1271A"/>
    <w:rsid w:val="00D14C6A"/>
    <w:rsid w:val="00D21079"/>
    <w:rsid w:val="00D274DC"/>
    <w:rsid w:val="00D27B84"/>
    <w:rsid w:val="00D3601E"/>
    <w:rsid w:val="00D36311"/>
    <w:rsid w:val="00D456E9"/>
    <w:rsid w:val="00D45F9F"/>
    <w:rsid w:val="00D5169A"/>
    <w:rsid w:val="00D64749"/>
    <w:rsid w:val="00D65367"/>
    <w:rsid w:val="00D71AEE"/>
    <w:rsid w:val="00D77473"/>
    <w:rsid w:val="00D837A1"/>
    <w:rsid w:val="00D837EB"/>
    <w:rsid w:val="00D85A10"/>
    <w:rsid w:val="00D86E80"/>
    <w:rsid w:val="00D92D0B"/>
    <w:rsid w:val="00D953D7"/>
    <w:rsid w:val="00D9693D"/>
    <w:rsid w:val="00DA0C80"/>
    <w:rsid w:val="00DA2D7A"/>
    <w:rsid w:val="00DB1450"/>
    <w:rsid w:val="00DC5293"/>
    <w:rsid w:val="00DC6C91"/>
    <w:rsid w:val="00DD4A75"/>
    <w:rsid w:val="00DE4F13"/>
    <w:rsid w:val="00DF0046"/>
    <w:rsid w:val="00DF3560"/>
    <w:rsid w:val="00DF5F9D"/>
    <w:rsid w:val="00E02A32"/>
    <w:rsid w:val="00E05757"/>
    <w:rsid w:val="00E067ED"/>
    <w:rsid w:val="00E06DBA"/>
    <w:rsid w:val="00E21AD7"/>
    <w:rsid w:val="00E43D94"/>
    <w:rsid w:val="00E44664"/>
    <w:rsid w:val="00E62E57"/>
    <w:rsid w:val="00E64F08"/>
    <w:rsid w:val="00E712B3"/>
    <w:rsid w:val="00E82C5C"/>
    <w:rsid w:val="00EA3A49"/>
    <w:rsid w:val="00EB77F4"/>
    <w:rsid w:val="00EC044F"/>
    <w:rsid w:val="00EC0783"/>
    <w:rsid w:val="00ED0133"/>
    <w:rsid w:val="00EE37CF"/>
    <w:rsid w:val="00EE54AE"/>
    <w:rsid w:val="00F001EF"/>
    <w:rsid w:val="00F00FE3"/>
    <w:rsid w:val="00F0542D"/>
    <w:rsid w:val="00F12DFE"/>
    <w:rsid w:val="00F35264"/>
    <w:rsid w:val="00F46D40"/>
    <w:rsid w:val="00F565E1"/>
    <w:rsid w:val="00F629EB"/>
    <w:rsid w:val="00F6528B"/>
    <w:rsid w:val="00F80126"/>
    <w:rsid w:val="00F805CF"/>
    <w:rsid w:val="00F853EF"/>
    <w:rsid w:val="00F903D2"/>
    <w:rsid w:val="00F92173"/>
    <w:rsid w:val="00F92CD3"/>
    <w:rsid w:val="00F93869"/>
    <w:rsid w:val="00F94280"/>
    <w:rsid w:val="00F942A0"/>
    <w:rsid w:val="00FB1571"/>
    <w:rsid w:val="00FB4E71"/>
    <w:rsid w:val="00FB7C77"/>
    <w:rsid w:val="00FC763A"/>
    <w:rsid w:val="00FD50BA"/>
    <w:rsid w:val="00FE125B"/>
    <w:rsid w:val="00FE2CCF"/>
    <w:rsid w:val="00FE6644"/>
    <w:rsid w:val="00FE6B6C"/>
    <w:rsid w:val="00FE76D2"/>
    <w:rsid w:val="375A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574C6"/>
  <w15:chartTrackingRefBased/>
  <w15:docId w15:val="{655DBC1E-B90A-409A-A4B2-B76363DF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6E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AB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431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D456E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D45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glossaryDocument" Target="/word/glossary/document.xml" Id="Rae777d923afa4b1d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16377-6069-4969-a030-2a4486f3f317}"/>
      </w:docPartPr>
      <w:docPartBody>
        <w:p w14:paraId="4C4BEA7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Upt09</b:Tag>
    <b:SourceType>Book</b:SourceType>
    <b:Guid>{749723DC-F821-4E72-8E69-EB93022F62D5}</b:Guid>
    <b:Author>
      <b:Author>
        <b:Corporate>Uptime Institute</b:Corporate>
      </b:Author>
    </b:Author>
    <b:Title>Data Center Site Infrastructire Tier Standard: Topology </b:Title>
    <b:Year>2009</b:Year>
    <b:City>New York, Ney York</b:City>
    <b:Publisher>Uptime Institute Professional Services</b:Publisher>
    <b:RefOrder>3</b:RefOrder>
  </b:Source>
  <b:Source>
    <b:Tag>Mah01</b:Tag>
    <b:SourceType>InternetSite</b:SourceType>
    <b:Guid>{0C23C36B-B4B6-423F-BC01-0FDE49213051}</b:Guid>
    <b:Author>
      <b:Author>
        <b:NameList>
          <b:Person>
            <b:Last>Ramasamy</b:Last>
            <b:First>Mahalingam</b:First>
          </b:Person>
        </b:NameList>
      </b:Author>
    </b:Author>
    <b:Title>Tier 3 data center specifications checklist</b:Title>
    <b:Year>2001</b:Year>
    <b:InternetSiteTitle>computerweekly.com</b:InternetSiteTitle>
    <b:Month>March</b:Month>
    <b:URL>https://www.computerweekly.com/tip/Tier-3-data-center-specifications-checklist</b:URL>
    <b:RefOrder>4</b:RefOrder>
  </b:Source>
  <b:Source>
    <b:Tag>joe17</b:Tag>
    <b:SourceType>InternetSite</b:SourceType>
    <b:Guid>{D8B8C4D6-33D0-429F-8209-0C7A563C61D5}</b:Guid>
    <b:Author>
      <b:Author>
        <b:NameList>
          <b:Person>
            <b:Last>hervik</b:Last>
            <b:First>joe</b:First>
          </b:Person>
        </b:NameList>
      </b:Author>
    </b:Author>
    <b:Title>Data Center Tiers: What Are They and Why Are They Important?</b:Title>
    <b:InternetSiteTitle>BMC.com</b:InternetSiteTitle>
    <b:Year>2017</b:Year>
    <b:Month>january</b:Month>
    <b:Day>12</b:Day>
    <b:URL>https://www.bmc.com/blogs/data-center-tiers-important/</b:URL>
    <b:RefOrder>5</b:RefOrder>
  </b:Source>
  <b:Source>
    <b:Tag>Vol16</b:Tag>
    <b:SourceType>InternetSite</b:SourceType>
    <b:Guid>{D282BA4D-500F-4ED3-B788-4EA42458F0AF}</b:Guid>
    <b:Title>Understanding Data Center Tiers And The Importance Of Tier IV Data Centers</b:Title>
    <b:Year>2016</b:Year>
    <b:Author>
      <b:Author>
        <b:Corporate>Volico </b:Corporate>
      </b:Author>
    </b:Author>
    <b:InternetSiteTitle>volico.com</b:InternetSiteTitle>
    <b:Month>june</b:Month>
    <b:Day>6</b:Day>
    <b:URL>https://www.volico.com/understanding-data-center-tiers-and-the-importance-of-tier-iv-data-centers/</b:URL>
    <b:RefOrder>1</b:RefOrder>
  </b:Source>
  <b:Source>
    <b:Tag>Col15</b:Tag>
    <b:SourceType>InternetSite</b:SourceType>
    <b:Guid>{8999B8C1-CB1C-410F-BA55-C68CAC29AA8E}</b:Guid>
    <b:Author>
      <b:Author>
        <b:Corporate>Colocation America</b:Corporate>
      </b:Author>
    </b:Author>
    <b:Title>WHAT IS THE UPTIME INSTITUTE’S TIER STANDARD SYSTEM?</b:Title>
    <b:InternetSiteTitle>ColocationAmerica.com</b:InternetSiteTitle>
    <b:Year>2015</b:Year>
    <b:URL>https://www.colocationamerica.com/data-center/tier-standards-overview.htm</b:URL>
    <b:RefOrder>2</b:RefOrder>
  </b:Source>
</b:Sources>
</file>

<file path=customXml/itemProps1.xml><?xml version="1.0" encoding="utf-8"?>
<ds:datastoreItem xmlns:ds="http://schemas.openxmlformats.org/officeDocument/2006/customXml" ds:itemID="{2BEAFA21-21B5-41CE-BF8B-BD886D1E85E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George G. Weaver</dc:creator>
  <keywords/>
  <dc:description/>
  <lastModifiedBy>George G. Weaver</lastModifiedBy>
  <revision>3</revision>
  <dcterms:created xsi:type="dcterms:W3CDTF">2018-09-25T20:16:00.0000000Z</dcterms:created>
  <dcterms:modified xsi:type="dcterms:W3CDTF">2018-10-08T23:27:29.0805089Z</dcterms:modified>
</coreProperties>
</file>