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1E" w:rsidRPr="00DE7262" w:rsidRDefault="00DE7262" w:rsidP="00DE7262">
      <w:pPr>
        <w:jc w:val="center"/>
        <w:rPr>
          <w:b/>
          <w:sz w:val="24"/>
          <w:szCs w:val="24"/>
        </w:rPr>
      </w:pPr>
      <w:r w:rsidRPr="00DE7262">
        <w:rPr>
          <w:b/>
          <w:sz w:val="24"/>
          <w:szCs w:val="24"/>
        </w:rPr>
        <w:t>Flash Research Draft: Datacenters and Networking</w:t>
      </w:r>
    </w:p>
    <w:p w:rsidR="00DE7262" w:rsidRDefault="00DE7262" w:rsidP="00DE7262">
      <w:pPr>
        <w:jc w:val="center"/>
        <w:rPr>
          <w:b/>
          <w:sz w:val="24"/>
          <w:szCs w:val="24"/>
        </w:rPr>
      </w:pPr>
      <w:r w:rsidRPr="00DE7262">
        <w:rPr>
          <w:b/>
          <w:sz w:val="24"/>
          <w:szCs w:val="24"/>
        </w:rPr>
        <w:t>Grant Blankenship</w:t>
      </w:r>
    </w:p>
    <w:p w:rsidR="0021696F" w:rsidRDefault="0050001B" w:rsidP="0021696F">
      <w:pPr>
        <w:rPr>
          <w:sz w:val="24"/>
          <w:szCs w:val="24"/>
        </w:rPr>
      </w:pPr>
      <w:r>
        <w:rPr>
          <w:sz w:val="24"/>
          <w:szCs w:val="24"/>
        </w:rPr>
        <w:t>Right now our co</w:t>
      </w:r>
      <w:r w:rsidR="009F4BC3">
        <w:rPr>
          <w:sz w:val="24"/>
          <w:szCs w:val="24"/>
        </w:rPr>
        <w:t xml:space="preserve">mpany stands to save $13.2 </w:t>
      </w:r>
      <w:r>
        <w:rPr>
          <w:sz w:val="24"/>
          <w:szCs w:val="24"/>
        </w:rPr>
        <w:t xml:space="preserve">million dollars over the next </w:t>
      </w:r>
      <w:r w:rsidR="00E07E06">
        <w:rPr>
          <w:sz w:val="24"/>
          <w:szCs w:val="24"/>
        </w:rPr>
        <w:t>three</w:t>
      </w:r>
      <w:r>
        <w:rPr>
          <w:sz w:val="24"/>
          <w:szCs w:val="24"/>
        </w:rPr>
        <w:t xml:space="preserve"> years</w:t>
      </w:r>
      <w:r w:rsidR="0038706A">
        <w:rPr>
          <w:sz w:val="24"/>
          <w:szCs w:val="24"/>
        </w:rPr>
        <w:t xml:space="preserve"> through a 94% reduction in downtime costs. This can be achieved by upgradi</w:t>
      </w:r>
      <w:r w:rsidR="009F4BC3">
        <w:rPr>
          <w:sz w:val="24"/>
          <w:szCs w:val="24"/>
        </w:rPr>
        <w:t>ng our datacenter to a Tier III datacenter</w:t>
      </w:r>
      <w:r w:rsidR="0038706A">
        <w:rPr>
          <w:sz w:val="24"/>
          <w:szCs w:val="24"/>
        </w:rPr>
        <w:t xml:space="preserve"> that provides 99.98% uptime over the course of a year. </w:t>
      </w:r>
      <w:r w:rsidR="00E07E06">
        <w:rPr>
          <w:sz w:val="24"/>
          <w:szCs w:val="24"/>
        </w:rPr>
        <w:t>It will provide more reliability than the current system, and save $24.1 million per year in reduced downtime costs.</w:t>
      </w:r>
    </w:p>
    <w:p w:rsidR="00CB2824" w:rsidRDefault="00E07E06" w:rsidP="0021696F">
      <w:pPr>
        <w:rPr>
          <w:sz w:val="24"/>
          <w:szCs w:val="24"/>
        </w:rPr>
      </w:pPr>
      <w:r>
        <w:rPr>
          <w:sz w:val="24"/>
          <w:szCs w:val="24"/>
        </w:rPr>
        <w:t xml:space="preserve">A Tier III </w:t>
      </w:r>
      <w:r w:rsidR="0038706A">
        <w:rPr>
          <w:sz w:val="24"/>
          <w:szCs w:val="24"/>
        </w:rPr>
        <w:t xml:space="preserve">datacenter provides financial and technological benefits beyond </w:t>
      </w:r>
      <w:r>
        <w:rPr>
          <w:sz w:val="24"/>
          <w:szCs w:val="24"/>
        </w:rPr>
        <w:t>our current capabilities</w:t>
      </w:r>
      <w:r w:rsidR="0038706A">
        <w:rPr>
          <w:sz w:val="24"/>
          <w:szCs w:val="24"/>
        </w:rPr>
        <w:t>. This model adds backup computer and power systems in the event of a failure, decreasing th</w:t>
      </w:r>
      <w:r>
        <w:rPr>
          <w:sz w:val="24"/>
          <w:szCs w:val="24"/>
        </w:rPr>
        <w:t>e number of outages the network</w:t>
      </w:r>
      <w:r w:rsidR="0038706A">
        <w:rPr>
          <w:sz w:val="24"/>
          <w:szCs w:val="24"/>
        </w:rPr>
        <w:t xml:space="preserve"> experiences. Each component is redundant, so that any piece can be removed from the system without affecting overall performance. In addition, it will provide on-site emergency power generation with 12 hours of reserve fuel in the case of a catastrophic power failure. </w:t>
      </w:r>
      <w:r>
        <w:rPr>
          <w:sz w:val="24"/>
          <w:szCs w:val="24"/>
        </w:rPr>
        <w:t>This allows planned maintenance</w:t>
      </w:r>
      <w:r w:rsidR="00CB2824">
        <w:rPr>
          <w:sz w:val="24"/>
          <w:szCs w:val="24"/>
        </w:rPr>
        <w:t xml:space="preserve"> without affecting the datacenter’s performance, and provides a safety net in the case of emergencies. </w:t>
      </w:r>
    </w:p>
    <w:p w:rsidR="00CB2824" w:rsidRDefault="00CB2824" w:rsidP="0021696F">
      <w:pPr>
        <w:rPr>
          <w:sz w:val="24"/>
          <w:szCs w:val="24"/>
        </w:rPr>
      </w:pPr>
      <w:r>
        <w:rPr>
          <w:sz w:val="24"/>
          <w:szCs w:val="24"/>
        </w:rPr>
        <w:t xml:space="preserve">Without this system, we are dependent on external systems that will inevitably fail, and cost the company millions in downtime costs. Implementing the new datacenter will take a year to construct and cost $35 million, but </w:t>
      </w:r>
      <w:r w:rsidR="00E13C1B">
        <w:rPr>
          <w:sz w:val="24"/>
          <w:szCs w:val="24"/>
        </w:rPr>
        <w:t xml:space="preserve">reduce the yearly downtime costs </w:t>
      </w:r>
      <w:r w:rsidR="00E07E06">
        <w:rPr>
          <w:sz w:val="24"/>
          <w:szCs w:val="24"/>
        </w:rPr>
        <w:t>by $24,114,528</w:t>
      </w:r>
      <w:r w:rsidR="00E13C1B">
        <w:rPr>
          <w:sz w:val="24"/>
          <w:szCs w:val="24"/>
        </w:rPr>
        <w:t>. Over the next three y</w:t>
      </w:r>
      <w:r w:rsidR="009F4BC3">
        <w:rPr>
          <w:sz w:val="24"/>
          <w:szCs w:val="24"/>
        </w:rPr>
        <w:t xml:space="preserve">ears the company will </w:t>
      </w:r>
      <w:r w:rsidR="00E07E06">
        <w:rPr>
          <w:sz w:val="24"/>
          <w:szCs w:val="24"/>
        </w:rPr>
        <w:t>gain a net savings of</w:t>
      </w:r>
      <w:r w:rsidR="009F4BC3">
        <w:rPr>
          <w:sz w:val="24"/>
          <w:szCs w:val="24"/>
        </w:rPr>
        <w:t xml:space="preserve"> $13,229,056</w:t>
      </w:r>
      <w:r w:rsidR="00E13C1B">
        <w:rPr>
          <w:sz w:val="24"/>
          <w:szCs w:val="24"/>
        </w:rPr>
        <w:t xml:space="preserve"> by investing in this new datacenter.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4BC3" w:rsidTr="009F4BC3">
        <w:tc>
          <w:tcPr>
            <w:tcW w:w="2337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Downtime min./Year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Minutes/Year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</w:t>
            </w:r>
          </w:p>
        </w:tc>
      </w:tr>
      <w:tr w:rsidR="009F4BC3" w:rsidTr="009F4BC3">
        <w:tc>
          <w:tcPr>
            <w:tcW w:w="2337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I</w:t>
            </w:r>
          </w:p>
        </w:tc>
        <w:tc>
          <w:tcPr>
            <w:tcW w:w="2337" w:type="dxa"/>
          </w:tcPr>
          <w:p w:rsidR="009F4BC3" w:rsidRDefault="00EA3434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1,629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525,600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99.67%</w:t>
            </w:r>
          </w:p>
        </w:tc>
      </w:tr>
      <w:tr w:rsidR="009F4BC3" w:rsidTr="009F4BC3">
        <w:tc>
          <w:tcPr>
            <w:tcW w:w="2337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III</w:t>
            </w:r>
          </w:p>
        </w:tc>
        <w:tc>
          <w:tcPr>
            <w:tcW w:w="2337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525,600</w:t>
            </w:r>
          </w:p>
        </w:tc>
        <w:tc>
          <w:tcPr>
            <w:tcW w:w="2338" w:type="dxa"/>
          </w:tcPr>
          <w:p w:rsidR="009F4BC3" w:rsidRDefault="009F4BC3" w:rsidP="0021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99.98%</w:t>
            </w:r>
          </w:p>
        </w:tc>
      </w:tr>
    </w:tbl>
    <w:p w:rsidR="009F4BC3" w:rsidRDefault="009F4BC3" w:rsidP="0021696F">
      <w:pPr>
        <w:rPr>
          <w:sz w:val="24"/>
          <w:szCs w:val="24"/>
        </w:rPr>
      </w:pPr>
    </w:p>
    <w:p w:rsidR="009F4BC3" w:rsidRPr="0021696F" w:rsidRDefault="009F4BC3" w:rsidP="0021696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1696F" w:rsidTr="0021696F"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3C1B">
              <w:rPr>
                <w:sz w:val="24"/>
                <w:szCs w:val="24"/>
              </w:rPr>
              <w:t xml:space="preserve"> Costs</w:t>
            </w:r>
          </w:p>
        </w:tc>
      </w:tr>
      <w:tr w:rsidR="0021696F" w:rsidTr="0021696F">
        <w:tc>
          <w:tcPr>
            <w:tcW w:w="1870" w:type="dxa"/>
          </w:tcPr>
          <w:p w:rsidR="0021696F" w:rsidRDefault="009F4BC3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</w:t>
            </w:r>
          </w:p>
        </w:tc>
        <w:tc>
          <w:tcPr>
            <w:tcW w:w="1870" w:type="dxa"/>
          </w:tcPr>
          <w:p w:rsidR="0021696F" w:rsidRDefault="009F4BC3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$35,000,000</w:t>
            </w:r>
          </w:p>
        </w:tc>
        <w:tc>
          <w:tcPr>
            <w:tcW w:w="1870" w:type="dxa"/>
          </w:tcPr>
          <w:p w:rsidR="0021696F" w:rsidRDefault="00E13C1B" w:rsidP="009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F4BC3"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21696F" w:rsidRDefault="00E13C1B" w:rsidP="009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1696F"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21696F" w:rsidRDefault="00E13C1B" w:rsidP="009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F4BC3">
              <w:rPr>
                <w:sz w:val="24"/>
                <w:szCs w:val="24"/>
              </w:rPr>
              <w:t>35,000,000</w:t>
            </w:r>
          </w:p>
        </w:tc>
      </w:tr>
      <w:tr w:rsidR="0021696F" w:rsidTr="0021696F">
        <w:tc>
          <w:tcPr>
            <w:tcW w:w="1870" w:type="dxa"/>
          </w:tcPr>
          <w:p w:rsidR="0021696F" w:rsidRDefault="009F4BC3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</w:t>
            </w: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$24,114,528</w:t>
            </w: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$24,114,528</w:t>
            </w: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$48,229,056</w:t>
            </w:r>
          </w:p>
        </w:tc>
      </w:tr>
      <w:tr w:rsidR="0021696F" w:rsidTr="0021696F">
        <w:tc>
          <w:tcPr>
            <w:tcW w:w="1870" w:type="dxa"/>
          </w:tcPr>
          <w:p w:rsidR="0021696F" w:rsidRDefault="0021696F" w:rsidP="00DE726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1696F" w:rsidRDefault="00E13C1B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21696F" w:rsidRDefault="0021696F" w:rsidP="00E13C1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Savings:</w:t>
            </w:r>
          </w:p>
        </w:tc>
        <w:tc>
          <w:tcPr>
            <w:tcW w:w="1870" w:type="dxa"/>
          </w:tcPr>
          <w:p w:rsidR="0021696F" w:rsidRDefault="00EA3434" w:rsidP="00D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$13,229,056</w:t>
            </w:r>
          </w:p>
        </w:tc>
      </w:tr>
    </w:tbl>
    <w:p w:rsidR="00DE7262" w:rsidRPr="00DE7262" w:rsidRDefault="00DE7262" w:rsidP="00DE7262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78762532"/>
        <w:docPartObj>
          <w:docPartGallery w:val="Bibliographies"/>
          <w:docPartUnique/>
        </w:docPartObj>
      </w:sdtPr>
      <w:sdtEndPr/>
      <w:sdtContent>
        <w:p w:rsidR="00490C17" w:rsidRDefault="00490C17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490C17" w:rsidRDefault="00490C17" w:rsidP="00490C17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Colocation America. (n.d.). </w:t>
              </w:r>
              <w:r>
                <w:rPr>
                  <w:i/>
                  <w:iCs/>
                  <w:noProof/>
                </w:rPr>
                <w:t>Data Center Tier Rating Breakdown</w:t>
              </w:r>
              <w:r>
                <w:rPr>
                  <w:noProof/>
                </w:rPr>
                <w:t>. Retrieved from colocationamerica.com: https://www.colocationamerica.com/data-center/tier-standards-overview.htm</w:t>
              </w:r>
            </w:p>
            <w:p w:rsidR="00490C17" w:rsidRDefault="00490C17" w:rsidP="00490C1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OVH . (n.d.). </w:t>
              </w:r>
              <w:r>
                <w:rPr>
                  <w:i/>
                  <w:iCs/>
                  <w:noProof/>
                </w:rPr>
                <w:t>Tier 3/Tier 4: Datacentre classification - OVH</w:t>
              </w:r>
              <w:r>
                <w:rPr>
                  <w:noProof/>
                </w:rPr>
                <w:t>. Retrieved from ovh.com: https://www.ovh.com/world/dedicated-servers/understanding-t3-t4.xml</w:t>
              </w:r>
            </w:p>
            <w:p w:rsidR="00490C17" w:rsidRDefault="00490C17" w:rsidP="00490C1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Uptime Institute, LLC. (2012). Data Center Site Infrastructure Tier Standard: Topology. New York, NY, United States.</w:t>
              </w:r>
              <w:bookmarkStart w:id="0" w:name="_GoBack"/>
              <w:bookmarkEnd w:id="0"/>
            </w:p>
            <w:p w:rsidR="00DE7262" w:rsidRPr="00040383" w:rsidRDefault="00490C17" w:rsidP="00040383">
              <w:r>
                <w:rPr>
                  <w:b/>
                  <w:bCs/>
                  <w:noProof/>
                </w:rPr>
                <w:lastRenderedPageBreak/>
                <w:fldChar w:fldCharType="end"/>
              </w:r>
            </w:p>
          </w:sdtContent>
        </w:sdt>
      </w:sdtContent>
    </w:sdt>
    <w:sectPr w:rsidR="00DE7262" w:rsidRPr="0004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2"/>
    <w:rsid w:val="00040383"/>
    <w:rsid w:val="0021696F"/>
    <w:rsid w:val="0038706A"/>
    <w:rsid w:val="00490C17"/>
    <w:rsid w:val="0050001B"/>
    <w:rsid w:val="00513F7B"/>
    <w:rsid w:val="009F4BC3"/>
    <w:rsid w:val="00CB2824"/>
    <w:rsid w:val="00DE7262"/>
    <w:rsid w:val="00E07E06"/>
    <w:rsid w:val="00E13C1B"/>
    <w:rsid w:val="00EA3434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03F2-15AD-4A44-A77C-A5CAC1C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4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0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90C17"/>
  </w:style>
  <w:style w:type="paragraph" w:styleId="BalloonText">
    <w:name w:val="Balloon Text"/>
    <w:basedOn w:val="Normal"/>
    <w:link w:val="BalloonTextChar"/>
    <w:uiPriority w:val="99"/>
    <w:semiHidden/>
    <w:unhideWhenUsed/>
    <w:rsid w:val="000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Upt12</b:Tag>
    <b:SourceType>ElectronicSource</b:SourceType>
    <b:Guid>{4C821F40-5784-4651-A3E0-4EB612A6249F}</b:Guid>
    <b:Title>Data Center Site Infrastructure Tier Standard: Topology</b:Title>
    <b:Year>2012</b:Year>
    <b:Author>
      <b:Author>
        <b:Corporate>Uptime Institute, LLC</b:Corporate>
      </b:Author>
    </b:Author>
    <b:City>New York</b:City>
    <b:StateProvince>NY</b:StateProvince>
    <b:CountryRegion>United States</b:CountryRegion>
    <b:RefOrder>1</b:RefOrder>
  </b:Source>
  <b:Source>
    <b:Tag>Col</b:Tag>
    <b:SourceType>InternetSite</b:SourceType>
    <b:Guid>{9B137BD0-CC33-447C-896C-9081C32AB5A3}</b:Guid>
    <b:Title>Data Center Tier Rating Breakdown</b:Title>
    <b:Author>
      <b:Author>
        <b:Corporate>Colocation America</b:Corporate>
      </b:Author>
    </b:Author>
    <b:InternetSiteTitle>colocationamerica.com</b:InternetSiteTitle>
    <b:URL>https://www.colocationamerica.com/data-center/tier-standards-overview.htm</b:URL>
    <b:RefOrder>2</b:RefOrder>
  </b:Source>
  <b:Source>
    <b:Tag>OVH</b:Tag>
    <b:SourceType>InternetSite</b:SourceType>
    <b:Guid>{2CA101D1-3F14-4688-93D5-DF2ECFC3AE41}</b:Guid>
    <b:Author>
      <b:Author>
        <b:Corporate>OVH </b:Corporate>
      </b:Author>
    </b:Author>
    <b:Title>Tier 3/Tier 4: Datacentre classification - OVH</b:Title>
    <b:InternetSiteTitle>ovh.com</b:InternetSiteTitle>
    <b:URL>https://www.ovh.com/world/dedicated-servers/understanding-t3-t4.xml</b:URL>
    <b:RefOrder>3</b:RefOrder>
  </b:Source>
</b:Sources>
</file>

<file path=customXml/itemProps1.xml><?xml version="1.0" encoding="utf-8"?>
<ds:datastoreItem xmlns:ds="http://schemas.openxmlformats.org/officeDocument/2006/customXml" ds:itemID="{F11F351E-C6D6-44CE-8AC7-978293B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6</cp:revision>
  <cp:lastPrinted>2018-10-10T23:45:00Z</cp:lastPrinted>
  <dcterms:created xsi:type="dcterms:W3CDTF">2018-09-19T18:39:00Z</dcterms:created>
  <dcterms:modified xsi:type="dcterms:W3CDTF">2018-10-10T23:46:00Z</dcterms:modified>
</cp:coreProperties>
</file>