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DF" w:rsidRPr="00372E93" w:rsidRDefault="00372E93" w:rsidP="00372E93">
      <w:pPr>
        <w:spacing w:line="480" w:lineRule="auto"/>
        <w:jc w:val="center"/>
        <w:rPr>
          <w:b/>
        </w:rPr>
      </w:pPr>
      <w:r w:rsidRPr="00372E93">
        <w:rPr>
          <w:b/>
        </w:rPr>
        <w:t>Flash Research Draft: Virtualization and Cloud Computing</w:t>
      </w:r>
    </w:p>
    <w:p w:rsidR="00372E93" w:rsidRDefault="00372E93" w:rsidP="00372E93">
      <w:pPr>
        <w:spacing w:line="480" w:lineRule="auto"/>
        <w:jc w:val="center"/>
      </w:pPr>
      <w:r>
        <w:t>Grant Blankenship</w:t>
      </w:r>
    </w:p>
    <w:p w:rsidR="00A76E4B" w:rsidRDefault="00811CC4" w:rsidP="004E2A02">
      <w:pPr>
        <w:spacing w:line="480" w:lineRule="auto"/>
        <w:ind w:firstLine="720"/>
      </w:pPr>
      <w:r>
        <w:t>W</w:t>
      </w:r>
      <w:r w:rsidR="005D7335">
        <w:t>e can save $9.2</w:t>
      </w:r>
      <w:r w:rsidR="00A76E4B">
        <w:t xml:space="preserve"> million in server expenses over the next three years by implementing virtual machines to run 80% of our servers. Using VMware we can consolidate 800 physical servers into 80 virtual servers while saving money</w:t>
      </w:r>
      <w:r w:rsidR="005D7335">
        <w:t xml:space="preserve"> and creating a more reliable infrastructure</w:t>
      </w:r>
      <w:r w:rsidR="00A76E4B">
        <w:t>.</w:t>
      </w:r>
    </w:p>
    <w:p w:rsidR="00043901" w:rsidRDefault="00A76E4B" w:rsidP="004E2A02">
      <w:pPr>
        <w:spacing w:line="480" w:lineRule="auto"/>
        <w:ind w:firstLine="720"/>
      </w:pPr>
      <w:r>
        <w:t xml:space="preserve">VMware </w:t>
      </w:r>
      <w:r w:rsidR="00773D28">
        <w:t>is a virtualization platform that will allow for e</w:t>
      </w:r>
      <w:r w:rsidR="00D260DC">
        <w:t>asy server consolidation</w:t>
      </w:r>
      <w:r w:rsidR="00773D28">
        <w:t xml:space="preserve">. </w:t>
      </w:r>
      <w:r w:rsidR="00043901">
        <w:t xml:space="preserve">Each virtual server is capable of supporting the </w:t>
      </w:r>
      <w:r w:rsidR="00FF4567">
        <w:t>equivalent of</w:t>
      </w:r>
      <w:r w:rsidR="00043901">
        <w:t xml:space="preserve"> 10 physical servers, drastically reducing</w:t>
      </w:r>
      <w:r w:rsidR="00FF4567">
        <w:t xml:space="preserve"> the maintenance and support workload</w:t>
      </w:r>
      <w:r w:rsidR="00043901">
        <w:t>.</w:t>
      </w:r>
      <w:r w:rsidR="005D7335">
        <w:t xml:space="preserve"> The network will be more</w:t>
      </w:r>
      <w:r w:rsidR="00D260DC">
        <w:t xml:space="preserve"> cost and energy</w:t>
      </w:r>
      <w:r w:rsidR="005D7335">
        <w:t xml:space="preserve"> efficient</w:t>
      </w:r>
      <w:r w:rsidR="00D260DC">
        <w:t xml:space="preserve">, while providing the same </w:t>
      </w:r>
      <w:r w:rsidR="00A24DD9">
        <w:t xml:space="preserve">level of </w:t>
      </w:r>
      <w:r w:rsidR="00D260DC">
        <w:t xml:space="preserve">accessibility. </w:t>
      </w:r>
      <w:r w:rsidR="00043901">
        <w:t xml:space="preserve">VMware </w:t>
      </w:r>
      <w:r w:rsidR="00FF4567">
        <w:t xml:space="preserve">also </w:t>
      </w:r>
      <w:r w:rsidR="00043901">
        <w:t>provides</w:t>
      </w:r>
      <w:r w:rsidR="00FF4567">
        <w:t xml:space="preserve"> the necessary system software and a centralized management platform that has been positively rated by Gartner for its services and support.</w:t>
      </w:r>
    </w:p>
    <w:p w:rsidR="00043901" w:rsidRDefault="00B27B75" w:rsidP="004E2A02">
      <w:pPr>
        <w:spacing w:line="480" w:lineRule="auto"/>
        <w:ind w:firstLine="720"/>
      </w:pPr>
      <w:r>
        <w:t>Implementing VMware will cost $4.8 million over the next three years for 80 virtual servers and 200 physical servers</w:t>
      </w:r>
      <w:r w:rsidR="00043901">
        <w:t>.</w:t>
      </w:r>
      <w:r w:rsidR="00A01D2E">
        <w:t xml:space="preserve"> Staying with 1,000 physical</w:t>
      </w:r>
      <w:bookmarkStart w:id="0" w:name="_GoBack"/>
      <w:bookmarkEnd w:id="0"/>
      <w:r w:rsidR="007B4CBB">
        <w:t xml:space="preserve"> servers will cost $14 million.</w:t>
      </w:r>
      <w:r w:rsidR="00043901">
        <w:t xml:space="preserve"> </w:t>
      </w:r>
      <w:r w:rsidR="005D7335">
        <w:t>By moving away from</w:t>
      </w:r>
      <w:r>
        <w:t xml:space="preserve"> </w:t>
      </w:r>
      <w:r w:rsidR="005D7335">
        <w:t xml:space="preserve">traditional </w:t>
      </w:r>
      <w:r>
        <w:t>physical ser</w:t>
      </w:r>
      <w:r w:rsidR="007B4CBB">
        <w:t>vers</w:t>
      </w:r>
      <w:r w:rsidR="005D7335">
        <w:t xml:space="preserve"> through virtualization</w:t>
      </w:r>
      <w:r w:rsidR="007B4CBB">
        <w:t xml:space="preserve"> the net savings will be $9.2</w:t>
      </w:r>
      <w:r>
        <w:t xml:space="preserve"> million.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92D58" w:rsidTr="00A93EEF"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</w:p>
        </w:tc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  <w:r>
              <w:t>Initial Cost</w:t>
            </w:r>
          </w:p>
        </w:tc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  <w:r>
              <w:t>Support Cost/Year</w:t>
            </w:r>
          </w:p>
        </w:tc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  <w:r>
              <w:t>Current Quantity</w:t>
            </w:r>
          </w:p>
        </w:tc>
        <w:tc>
          <w:tcPr>
            <w:tcW w:w="1870" w:type="dxa"/>
          </w:tcPr>
          <w:p w:rsidR="00892D58" w:rsidRDefault="00892D58" w:rsidP="005D7335">
            <w:r>
              <w:t>Proposed Quantity</w:t>
            </w:r>
          </w:p>
        </w:tc>
      </w:tr>
      <w:tr w:rsidR="00892D58" w:rsidTr="00A93EEF"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  <w:r>
              <w:t>Current Servers</w:t>
            </w:r>
          </w:p>
        </w:tc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  <w:r>
              <w:t>$8,000</w:t>
            </w:r>
          </w:p>
        </w:tc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  <w:r>
              <w:t>$2,000</w:t>
            </w:r>
          </w:p>
        </w:tc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  <w:r>
              <w:t>1000</w:t>
            </w:r>
          </w:p>
        </w:tc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  <w:r>
              <w:t>200</w:t>
            </w:r>
          </w:p>
        </w:tc>
      </w:tr>
      <w:tr w:rsidR="00892D58" w:rsidTr="00A93EEF">
        <w:tc>
          <w:tcPr>
            <w:tcW w:w="1870" w:type="dxa"/>
          </w:tcPr>
          <w:p w:rsidR="00892D58" w:rsidRDefault="000347C3" w:rsidP="00372E93">
            <w:pPr>
              <w:spacing w:line="480" w:lineRule="auto"/>
            </w:pPr>
            <w:r>
              <w:t>Virtual</w:t>
            </w:r>
            <w:r w:rsidR="00892D58">
              <w:t xml:space="preserve"> Servers</w:t>
            </w:r>
          </w:p>
        </w:tc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  <w:r>
              <w:t>$16,000</w:t>
            </w:r>
          </w:p>
        </w:tc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  <w:r>
              <w:t>$3,000</w:t>
            </w:r>
          </w:p>
        </w:tc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:rsidR="00892D58" w:rsidRDefault="00892D58" w:rsidP="00372E93">
            <w:pPr>
              <w:spacing w:line="480" w:lineRule="auto"/>
            </w:pPr>
            <w:r>
              <w:t>80</w:t>
            </w:r>
          </w:p>
        </w:tc>
      </w:tr>
    </w:tbl>
    <w:p w:rsidR="00372E93" w:rsidRDefault="00372E93" w:rsidP="00372E93">
      <w:pPr>
        <w:spacing w:line="480" w:lineRule="auto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055"/>
      </w:tblGrid>
      <w:tr w:rsidR="007B4CBB" w:rsidTr="004F1319"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>
            <w:r>
              <w:t>Year 1</w:t>
            </w:r>
          </w:p>
        </w:tc>
        <w:tc>
          <w:tcPr>
            <w:tcW w:w="1870" w:type="dxa"/>
          </w:tcPr>
          <w:p w:rsidR="007B4CBB" w:rsidRDefault="007B4CBB" w:rsidP="004F1319">
            <w:r>
              <w:t>Year 2</w:t>
            </w:r>
          </w:p>
        </w:tc>
        <w:tc>
          <w:tcPr>
            <w:tcW w:w="1870" w:type="dxa"/>
          </w:tcPr>
          <w:p w:rsidR="007B4CBB" w:rsidRDefault="007B4CBB" w:rsidP="004F1319">
            <w:r>
              <w:t xml:space="preserve">Year 3 </w:t>
            </w:r>
          </w:p>
        </w:tc>
        <w:tc>
          <w:tcPr>
            <w:tcW w:w="2055" w:type="dxa"/>
          </w:tcPr>
          <w:p w:rsidR="007B4CBB" w:rsidRDefault="007B4CBB" w:rsidP="004F1319">
            <w:r>
              <w:t>Total</w:t>
            </w:r>
          </w:p>
        </w:tc>
      </w:tr>
      <w:tr w:rsidR="007B4CBB" w:rsidTr="007B4CBB">
        <w:trPr>
          <w:trHeight w:val="341"/>
        </w:trPr>
        <w:tc>
          <w:tcPr>
            <w:tcW w:w="1870" w:type="dxa"/>
          </w:tcPr>
          <w:p w:rsidR="007B4CBB" w:rsidRDefault="007B4CBB" w:rsidP="004F1319">
            <w:r>
              <w:t>Virtual Costs</w:t>
            </w:r>
          </w:p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2055" w:type="dxa"/>
          </w:tcPr>
          <w:p w:rsidR="007B4CBB" w:rsidRDefault="007B4CBB" w:rsidP="004F1319"/>
        </w:tc>
      </w:tr>
      <w:tr w:rsidR="007B4CBB" w:rsidTr="004F1319">
        <w:tc>
          <w:tcPr>
            <w:tcW w:w="1870" w:type="dxa"/>
          </w:tcPr>
          <w:p w:rsidR="007B4CBB" w:rsidRDefault="007B4CBB" w:rsidP="004F1319">
            <w:r>
              <w:t>Virtual Platform</w:t>
            </w:r>
          </w:p>
        </w:tc>
        <w:tc>
          <w:tcPr>
            <w:tcW w:w="1870" w:type="dxa"/>
          </w:tcPr>
          <w:p w:rsidR="007B4CBB" w:rsidRDefault="007B4CBB" w:rsidP="004F1319">
            <w:r>
              <w:t>$2,880,000</w:t>
            </w:r>
          </w:p>
        </w:tc>
        <w:tc>
          <w:tcPr>
            <w:tcW w:w="1870" w:type="dxa"/>
          </w:tcPr>
          <w:p w:rsidR="007B4CBB" w:rsidRDefault="007B4CBB" w:rsidP="004F1319">
            <w:r>
              <w:t>$0</w:t>
            </w:r>
          </w:p>
        </w:tc>
        <w:tc>
          <w:tcPr>
            <w:tcW w:w="1870" w:type="dxa"/>
          </w:tcPr>
          <w:p w:rsidR="007B4CBB" w:rsidRDefault="007B4CBB" w:rsidP="004F1319">
            <w:r>
              <w:t>$0</w:t>
            </w:r>
          </w:p>
        </w:tc>
        <w:tc>
          <w:tcPr>
            <w:tcW w:w="2055" w:type="dxa"/>
          </w:tcPr>
          <w:p w:rsidR="007B4CBB" w:rsidRDefault="007B4CBB" w:rsidP="004F1319">
            <w:r>
              <w:t>$2,880,000</w:t>
            </w:r>
          </w:p>
        </w:tc>
      </w:tr>
      <w:tr w:rsidR="007B4CBB" w:rsidTr="004F1319">
        <w:tc>
          <w:tcPr>
            <w:tcW w:w="1870" w:type="dxa"/>
          </w:tcPr>
          <w:p w:rsidR="007B4CBB" w:rsidRDefault="007B4CBB" w:rsidP="004F1319">
            <w:r>
              <w:t>Maintenance</w:t>
            </w:r>
          </w:p>
        </w:tc>
        <w:tc>
          <w:tcPr>
            <w:tcW w:w="1870" w:type="dxa"/>
          </w:tcPr>
          <w:p w:rsidR="007B4CBB" w:rsidRDefault="007B4CBB" w:rsidP="004F1319">
            <w:r>
              <w:t>$640,000</w:t>
            </w:r>
          </w:p>
        </w:tc>
        <w:tc>
          <w:tcPr>
            <w:tcW w:w="1870" w:type="dxa"/>
          </w:tcPr>
          <w:p w:rsidR="007B4CBB" w:rsidRDefault="007B4CBB" w:rsidP="007B4CBB">
            <w:r>
              <w:t>$640,000</w:t>
            </w:r>
          </w:p>
        </w:tc>
        <w:tc>
          <w:tcPr>
            <w:tcW w:w="1870" w:type="dxa"/>
          </w:tcPr>
          <w:p w:rsidR="007B4CBB" w:rsidRDefault="007B4CBB" w:rsidP="004F1319">
            <w:r>
              <w:t>$640,000</w:t>
            </w:r>
          </w:p>
        </w:tc>
        <w:tc>
          <w:tcPr>
            <w:tcW w:w="2055" w:type="dxa"/>
          </w:tcPr>
          <w:p w:rsidR="007B4CBB" w:rsidRDefault="007B4CBB" w:rsidP="004F1319">
            <w:r>
              <w:t>$1,920,000</w:t>
            </w:r>
          </w:p>
        </w:tc>
      </w:tr>
      <w:tr w:rsidR="007B4CBB" w:rsidTr="004F1319">
        <w:tc>
          <w:tcPr>
            <w:tcW w:w="1870" w:type="dxa"/>
          </w:tcPr>
          <w:p w:rsidR="007B4CBB" w:rsidRDefault="007B4CBB" w:rsidP="004F1319">
            <w:r>
              <w:t>Total Costs</w:t>
            </w:r>
          </w:p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2055" w:type="dxa"/>
          </w:tcPr>
          <w:p w:rsidR="007B4CBB" w:rsidRDefault="007B4CBB" w:rsidP="004F1319">
            <w:r>
              <w:t>$4,800,000</w:t>
            </w:r>
          </w:p>
        </w:tc>
      </w:tr>
      <w:tr w:rsidR="007B4CBB" w:rsidTr="004F1319"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2055" w:type="dxa"/>
          </w:tcPr>
          <w:p w:rsidR="007B4CBB" w:rsidRDefault="007B4CBB" w:rsidP="004F1319"/>
        </w:tc>
      </w:tr>
      <w:tr w:rsidR="007B4CBB" w:rsidTr="004F1319">
        <w:tc>
          <w:tcPr>
            <w:tcW w:w="1870" w:type="dxa"/>
          </w:tcPr>
          <w:p w:rsidR="007B4CBB" w:rsidRDefault="007B4CBB" w:rsidP="004F1319">
            <w:r>
              <w:t>Traditional Costs</w:t>
            </w:r>
          </w:p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2055" w:type="dxa"/>
          </w:tcPr>
          <w:p w:rsidR="007B4CBB" w:rsidRDefault="007B4CBB" w:rsidP="004F1319"/>
        </w:tc>
      </w:tr>
      <w:tr w:rsidR="007B4CBB" w:rsidTr="004F1319">
        <w:tc>
          <w:tcPr>
            <w:tcW w:w="1870" w:type="dxa"/>
          </w:tcPr>
          <w:p w:rsidR="007B4CBB" w:rsidRDefault="007B4CBB" w:rsidP="004F1319">
            <w:r>
              <w:t xml:space="preserve">Traditional Platform </w:t>
            </w:r>
          </w:p>
        </w:tc>
        <w:tc>
          <w:tcPr>
            <w:tcW w:w="1870" w:type="dxa"/>
          </w:tcPr>
          <w:p w:rsidR="007B4CBB" w:rsidRDefault="007B4CBB" w:rsidP="004F1319">
            <w:r>
              <w:t>$8,000,000</w:t>
            </w:r>
          </w:p>
        </w:tc>
        <w:tc>
          <w:tcPr>
            <w:tcW w:w="1870" w:type="dxa"/>
          </w:tcPr>
          <w:p w:rsidR="007B4CBB" w:rsidRDefault="007B4CBB" w:rsidP="004F1319">
            <w:r>
              <w:t>$0</w:t>
            </w:r>
          </w:p>
        </w:tc>
        <w:tc>
          <w:tcPr>
            <w:tcW w:w="1870" w:type="dxa"/>
          </w:tcPr>
          <w:p w:rsidR="007B4CBB" w:rsidRDefault="007B4CBB" w:rsidP="004F1319">
            <w:r>
              <w:t>$0</w:t>
            </w:r>
          </w:p>
        </w:tc>
        <w:tc>
          <w:tcPr>
            <w:tcW w:w="2055" w:type="dxa"/>
          </w:tcPr>
          <w:p w:rsidR="007B4CBB" w:rsidRDefault="007B4CBB" w:rsidP="004F1319">
            <w:r>
              <w:t>$8,000,000</w:t>
            </w:r>
          </w:p>
        </w:tc>
      </w:tr>
      <w:tr w:rsidR="007B4CBB" w:rsidTr="004F1319">
        <w:tc>
          <w:tcPr>
            <w:tcW w:w="1870" w:type="dxa"/>
          </w:tcPr>
          <w:p w:rsidR="007B4CBB" w:rsidRDefault="007B4CBB" w:rsidP="004F1319">
            <w:r>
              <w:lastRenderedPageBreak/>
              <w:t>Maintenance</w:t>
            </w:r>
          </w:p>
        </w:tc>
        <w:tc>
          <w:tcPr>
            <w:tcW w:w="1870" w:type="dxa"/>
          </w:tcPr>
          <w:p w:rsidR="007B4CBB" w:rsidRDefault="007B4CBB" w:rsidP="004F1319">
            <w:r>
              <w:t>$2,000,000</w:t>
            </w:r>
          </w:p>
        </w:tc>
        <w:tc>
          <w:tcPr>
            <w:tcW w:w="1870" w:type="dxa"/>
          </w:tcPr>
          <w:p w:rsidR="007B4CBB" w:rsidRDefault="007B4CBB" w:rsidP="004F1319">
            <w:r>
              <w:t>$2,000,000</w:t>
            </w:r>
          </w:p>
        </w:tc>
        <w:tc>
          <w:tcPr>
            <w:tcW w:w="1870" w:type="dxa"/>
          </w:tcPr>
          <w:p w:rsidR="007B4CBB" w:rsidRDefault="007B4CBB" w:rsidP="004F1319">
            <w:r>
              <w:t>$2,000,000</w:t>
            </w:r>
          </w:p>
        </w:tc>
        <w:tc>
          <w:tcPr>
            <w:tcW w:w="2055" w:type="dxa"/>
          </w:tcPr>
          <w:p w:rsidR="007B4CBB" w:rsidRDefault="007B4CBB" w:rsidP="004F1319">
            <w:r>
              <w:t>$6,000,000</w:t>
            </w:r>
          </w:p>
        </w:tc>
      </w:tr>
      <w:tr w:rsidR="007B4CBB" w:rsidTr="004F1319">
        <w:tc>
          <w:tcPr>
            <w:tcW w:w="1870" w:type="dxa"/>
          </w:tcPr>
          <w:p w:rsidR="007B4CBB" w:rsidRDefault="007B4CBB" w:rsidP="004F1319">
            <w:r>
              <w:t>Total Costs</w:t>
            </w:r>
          </w:p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2055" w:type="dxa"/>
          </w:tcPr>
          <w:p w:rsidR="007B4CBB" w:rsidRDefault="007B4CBB" w:rsidP="004F1319">
            <w:r>
              <w:t>$14,000,000</w:t>
            </w:r>
          </w:p>
        </w:tc>
      </w:tr>
      <w:tr w:rsidR="007B4CBB" w:rsidTr="004F1319"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2055" w:type="dxa"/>
          </w:tcPr>
          <w:p w:rsidR="007B4CBB" w:rsidRDefault="007B4CBB" w:rsidP="004F1319"/>
        </w:tc>
      </w:tr>
      <w:tr w:rsidR="007B4CBB" w:rsidTr="004F1319">
        <w:tc>
          <w:tcPr>
            <w:tcW w:w="1870" w:type="dxa"/>
          </w:tcPr>
          <w:p w:rsidR="007B4CBB" w:rsidRDefault="007B4CBB" w:rsidP="004F1319">
            <w:r>
              <w:t>Net Benefit</w:t>
            </w:r>
          </w:p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1870" w:type="dxa"/>
          </w:tcPr>
          <w:p w:rsidR="007B4CBB" w:rsidRDefault="007B4CBB" w:rsidP="004F1319"/>
        </w:tc>
        <w:tc>
          <w:tcPr>
            <w:tcW w:w="2055" w:type="dxa"/>
          </w:tcPr>
          <w:p w:rsidR="007B4CBB" w:rsidRDefault="007B4CBB" w:rsidP="004F1319">
            <w:r>
              <w:t>$9,200,000</w:t>
            </w:r>
          </w:p>
        </w:tc>
      </w:tr>
    </w:tbl>
    <w:p w:rsidR="005E762E" w:rsidRDefault="005E762E" w:rsidP="00372E93">
      <w:pPr>
        <w:spacing w:line="480" w:lineRule="auto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81995704"/>
        <w:docPartObj>
          <w:docPartGallery w:val="Bibliographies"/>
          <w:docPartUnique/>
        </w:docPartObj>
      </w:sdtPr>
      <w:sdtEndPr/>
      <w:sdtContent>
        <w:p w:rsidR="006A5D74" w:rsidRDefault="006A5D74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:rsidR="006A5D74" w:rsidRDefault="006A5D74" w:rsidP="006A5D74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Gartner. (2018, March 28). </w:t>
              </w:r>
              <w:r>
                <w:rPr>
                  <w:i/>
                  <w:iCs/>
                  <w:noProof/>
                </w:rPr>
                <w:t>Vendor Rating: VMware</w:t>
              </w:r>
              <w:r>
                <w:rPr>
                  <w:noProof/>
                </w:rPr>
                <w:t>. Retrieved from Gartner.com: https://www.gartner.com/document/3869926?ref=solrAll&amp;refval=209908784&amp;qid=fab8fba3015959e1a746e757d7553f28</w:t>
              </w:r>
            </w:p>
            <w:p w:rsidR="006A5D74" w:rsidRDefault="006A5D74" w:rsidP="006A5D74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VMware. (2006). </w:t>
              </w:r>
              <w:r>
                <w:rPr>
                  <w:i/>
                  <w:iCs/>
                  <w:noProof/>
                </w:rPr>
                <w:t>VMware Server Virtual Machine Guide.</w:t>
              </w:r>
              <w:r>
                <w:rPr>
                  <w:noProof/>
                </w:rPr>
                <w:t xml:space="preserve"> Retrieved from VMware Corporation Website: https://www.vmware.com/pdf/server_vm_manual.pdf</w:t>
              </w:r>
            </w:p>
            <w:p w:rsidR="006A5D74" w:rsidRDefault="006A5D74" w:rsidP="006A5D74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VMware. (n.d.). </w:t>
              </w:r>
              <w:r>
                <w:rPr>
                  <w:i/>
                  <w:iCs/>
                  <w:noProof/>
                </w:rPr>
                <w:t>vSphere</w:t>
              </w:r>
              <w:r>
                <w:rPr>
                  <w:noProof/>
                </w:rPr>
                <w:t>. Retrieved from VMware.com: https://www.vmware.com/products/vsphere.html</w:t>
              </w:r>
            </w:p>
            <w:p w:rsidR="006A5D74" w:rsidRDefault="006A5D74" w:rsidP="006A5D74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A62FA2" w:rsidRDefault="00A62FA2" w:rsidP="00A62FA2"/>
    <w:p w:rsidR="00FF4567" w:rsidRDefault="00FF4567" w:rsidP="00372E93">
      <w:pPr>
        <w:spacing w:line="480" w:lineRule="auto"/>
      </w:pPr>
    </w:p>
    <w:p w:rsidR="00FF4567" w:rsidRDefault="00FF4567" w:rsidP="00372E93">
      <w:pPr>
        <w:spacing w:line="480" w:lineRule="auto"/>
      </w:pPr>
    </w:p>
    <w:sectPr w:rsidR="00FF4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93"/>
    <w:rsid w:val="000347C3"/>
    <w:rsid w:val="00043901"/>
    <w:rsid w:val="00046DFC"/>
    <w:rsid w:val="00307D03"/>
    <w:rsid w:val="00372E93"/>
    <w:rsid w:val="004E2A02"/>
    <w:rsid w:val="005D7335"/>
    <w:rsid w:val="005E762E"/>
    <w:rsid w:val="006A5D74"/>
    <w:rsid w:val="00773D28"/>
    <w:rsid w:val="007B4CBB"/>
    <w:rsid w:val="00811CC4"/>
    <w:rsid w:val="00892D58"/>
    <w:rsid w:val="00A01D2E"/>
    <w:rsid w:val="00A24DD9"/>
    <w:rsid w:val="00A62FA2"/>
    <w:rsid w:val="00A76E4B"/>
    <w:rsid w:val="00B27B75"/>
    <w:rsid w:val="00B660DF"/>
    <w:rsid w:val="00C5370B"/>
    <w:rsid w:val="00D260DC"/>
    <w:rsid w:val="00ED0A43"/>
    <w:rsid w:val="00F10F28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58428-2F8B-4A6B-A704-9B816D97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4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5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6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A6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Gar18</b:Tag>
    <b:SourceType>InternetSite</b:SourceType>
    <b:Guid>{6C66E338-FC7E-4D0A-90D6-D919F1236418}</b:Guid>
    <b:Author>
      <b:Author>
        <b:Corporate>Gartner</b:Corporate>
      </b:Author>
    </b:Author>
    <b:Title>Vendor Rating: VMware</b:Title>
    <b:InternetSiteTitle>Gartner.com</b:InternetSiteTitle>
    <b:Year>2018</b:Year>
    <b:Month>March</b:Month>
    <b:Day>28</b:Day>
    <b:URL>https://www.gartner.com/document/3869926?ref=solrAll&amp;refval=209908784&amp;qid=fab8fba3015959e1a746e757d7553f28</b:URL>
    <b:RefOrder>1</b:RefOrder>
  </b:Source>
  <b:Source>
    <b:Tag>VMw</b:Tag>
    <b:SourceType>InternetSite</b:SourceType>
    <b:Guid>{36A16EFB-864F-4613-8E52-E6A5C139DC39}</b:Guid>
    <b:Author>
      <b:Author>
        <b:Corporate>VMware</b:Corporate>
      </b:Author>
    </b:Author>
    <b:Title>vSphere</b:Title>
    <b:InternetSiteTitle>VMware.com</b:InternetSiteTitle>
    <b:URL>https://www.vmware.com/products/vsphere.html</b:URL>
    <b:RefOrder>2</b:RefOrder>
  </b:Source>
  <b:Source>
    <b:Tag>VMw06</b:Tag>
    <b:SourceType>DocumentFromInternetSite</b:SourceType>
    <b:Guid>{CFD821FA-7E86-4D66-B0AF-6D48DF9F9676}</b:Guid>
    <b:Title>VMware Server Virtual Machine Guide</b:Title>
    <b:InternetSiteTitle>VMware Corporation Website</b:InternetSiteTitle>
    <b:Year>2006</b:Year>
    <b:URL>https://www.vmware.com/pdf/server_vm_manual.pdf</b:URL>
    <b:Author>
      <b:Author>
        <b:Corporate>VMware</b:Corporate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6F290644-05FF-4856-99CF-58160404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Grant</cp:lastModifiedBy>
  <cp:revision>14</cp:revision>
  <dcterms:created xsi:type="dcterms:W3CDTF">2018-10-04T21:03:00Z</dcterms:created>
  <dcterms:modified xsi:type="dcterms:W3CDTF">2018-10-09T17:12:00Z</dcterms:modified>
</cp:coreProperties>
</file>