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10EA7" w14:textId="77777777" w:rsidR="000446A4" w:rsidRDefault="001A0380" w:rsidP="001A0380">
      <w:pPr>
        <w:spacing w:line="480" w:lineRule="auto"/>
      </w:pPr>
      <w:r>
        <w:t>Hung Dau</w:t>
      </w:r>
    </w:p>
    <w:p w14:paraId="3DCC1920" w14:textId="77777777" w:rsidR="001A0380" w:rsidRDefault="001A0380" w:rsidP="001A0380">
      <w:pPr>
        <w:spacing w:line="480" w:lineRule="auto"/>
      </w:pPr>
      <w:r>
        <w:t xml:space="preserve">MIS2501 – Flash Research Paper 1: Data Center and Networking </w:t>
      </w:r>
    </w:p>
    <w:p w14:paraId="59ECAF26" w14:textId="33845A59" w:rsidR="001A0380" w:rsidRDefault="0056765A" w:rsidP="001A0380">
      <w:pPr>
        <w:spacing w:line="480" w:lineRule="auto"/>
      </w:pPr>
      <w:r>
        <w:t>Mart Doyle</w:t>
      </w:r>
    </w:p>
    <w:p w14:paraId="68082C6E" w14:textId="44BD0234" w:rsidR="00852193" w:rsidRDefault="00852193" w:rsidP="00A806AB">
      <w:pPr>
        <w:spacing w:line="480" w:lineRule="auto"/>
        <w:jc w:val="both"/>
      </w:pPr>
      <w:r>
        <w:tab/>
        <w:t>By using</w:t>
      </w:r>
      <w:r w:rsidR="00A806AB">
        <w:t xml:space="preserve"> a</w:t>
      </w:r>
      <w:r>
        <w:t xml:space="preserve"> Tier III</w:t>
      </w:r>
      <w:r w:rsidR="00A806AB">
        <w:t xml:space="preserve"> data</w:t>
      </w:r>
      <w:r>
        <w:t>center instead of Tier I, our company can save as much as $</w:t>
      </w:r>
      <w:r w:rsidR="004D75E6">
        <w:t>24,114,528 per</w:t>
      </w:r>
      <w:r>
        <w:t xml:space="preserve"> year. The Tier I data center that we are running</w:t>
      </w:r>
      <w:r w:rsidR="00A806AB">
        <w:t xml:space="preserve"> now, is becoming unsuitable since the downtime costs our organization $14,800 per minutes. We need </w:t>
      </w:r>
      <w:r w:rsidR="005F7353">
        <w:t>undated</w:t>
      </w:r>
      <w:r w:rsidR="00A806AB">
        <w:t xml:space="preserve"> data center, which can provid</w:t>
      </w:r>
      <w:r w:rsidR="005F7353">
        <w:t>e better redundancy and system</w:t>
      </w:r>
      <w:r w:rsidR="00A806AB">
        <w:t xml:space="preserve"> availability. The Tier III datacenter will be a good choice for us</w:t>
      </w:r>
      <w:r w:rsidR="005F7353">
        <w:t xml:space="preserve"> due to its redundancy capacities</w:t>
      </w:r>
      <w:r w:rsidR="00A806AB">
        <w:t xml:space="preserve">. </w:t>
      </w:r>
    </w:p>
    <w:p w14:paraId="1C9D59D2" w14:textId="5EBA4C09" w:rsidR="00A806AB" w:rsidRDefault="00A806AB" w:rsidP="00A806AB">
      <w:pPr>
        <w:spacing w:line="480" w:lineRule="auto"/>
        <w:jc w:val="both"/>
      </w:pPr>
      <w:r>
        <w:tab/>
      </w:r>
      <w:r w:rsidR="002537F2">
        <w:t xml:space="preserve">The Tier III datacenter </w:t>
      </w:r>
      <w:r w:rsidR="0011045E">
        <w:t>not only provides better</w:t>
      </w:r>
      <w:r w:rsidR="00AD3967">
        <w:t xml:space="preserve"> availability, but also compose</w:t>
      </w:r>
      <w:r w:rsidR="00A52AA1">
        <w:t>s</w:t>
      </w:r>
      <w:r w:rsidR="00AF7732">
        <w:t xml:space="preserve"> multiple active power, and cooling distribution paths</w:t>
      </w:r>
      <w:r w:rsidR="00A52AA1">
        <w:t xml:space="preserve">. Different from the Tier I datacenter, </w:t>
      </w:r>
      <w:r w:rsidR="0011045E">
        <w:t>Tier III datacenter has the ability to maintain and replace each and every capacity or distribution component without impacting the IT environment. Moreover, with the availability of 99.98% instead of 99.68% like Tier I datacenter, u</w:t>
      </w:r>
      <w:r w:rsidR="00A52AA1">
        <w:t xml:space="preserve">sing the Tier III datacenter can help our organization </w:t>
      </w:r>
      <w:r w:rsidR="0011045E">
        <w:t xml:space="preserve">reduce the </w:t>
      </w:r>
      <w:r w:rsidR="00A52AA1">
        <w:t xml:space="preserve">downtime from 1734.48 </w:t>
      </w:r>
      <w:r w:rsidR="005F7353">
        <w:t>minutes</w:t>
      </w:r>
      <w:r w:rsidR="00A52AA1">
        <w:t xml:space="preserve"> per year to only 105.12 </w:t>
      </w:r>
      <w:r w:rsidR="005F7353">
        <w:t>minutes</w:t>
      </w:r>
      <w:r w:rsidR="00A52AA1">
        <w:t xml:space="preserve"> per year.  </w:t>
      </w:r>
    </w:p>
    <w:p w14:paraId="5B8B894E" w14:textId="7A9E120E" w:rsidR="0011045E" w:rsidRDefault="0011045E" w:rsidP="00A806AB">
      <w:pPr>
        <w:spacing w:line="480" w:lineRule="auto"/>
        <w:jc w:val="both"/>
      </w:pPr>
      <w:r>
        <w:tab/>
      </w:r>
      <w:r w:rsidR="00323CE7">
        <w:t xml:space="preserve">Implementing the Tier III datacenter </w:t>
      </w:r>
      <w:r w:rsidR="005F7353">
        <w:t>will cost an initial payment of</w:t>
      </w:r>
      <w:r w:rsidR="00323CE7">
        <w:t xml:space="preserve"> approximately $35,</w:t>
      </w:r>
      <w:r w:rsidR="005F7353">
        <w:t>000,000 and one year to be build</w:t>
      </w:r>
      <w:r w:rsidR="00323CE7">
        <w:t xml:space="preserve">. However, after three years of running this datacenter, our organization will get the net benefit of $13,229,056. We </w:t>
      </w:r>
      <w:r w:rsidR="00AF7732">
        <w:t>will result in</w:t>
      </w:r>
      <w:r w:rsidR="00323CE7">
        <w:t xml:space="preserve"> this </w:t>
      </w:r>
      <w:r w:rsidR="00AF7732">
        <w:t xml:space="preserve">net </w:t>
      </w:r>
      <w:r w:rsidR="00323CE7">
        <w:t>benefit because after one year buildi</w:t>
      </w:r>
      <w:r w:rsidR="00AF7732">
        <w:t xml:space="preserve">ng the Tier III datacenter, our downtime cost </w:t>
      </w:r>
      <w:r w:rsidR="005F7353">
        <w:t>falls to</w:t>
      </w:r>
      <w:r w:rsidR="00AF7732">
        <w:t xml:space="preserve"> $1,555,776 annually. Compared to the Tier I datacenter’s downtime cost of $25,670,304 per year, our organization will save $24,114,528</w:t>
      </w:r>
      <w:r w:rsidR="004D75E6">
        <w:t xml:space="preserve"> downtime cost by using the Tier III datacenter</w:t>
      </w:r>
      <w:r w:rsidR="00AF7732">
        <w:t xml:space="preserve">. </w:t>
      </w:r>
      <w:bookmarkStart w:id="0" w:name="_GoBack"/>
      <w:bookmarkEnd w:id="0"/>
      <w:r w:rsidR="00AF7732">
        <w:t xml:space="preserve">This is certainly a worth datacenter for us to invest on. </w:t>
      </w:r>
    </w:p>
    <w:p w14:paraId="131F6223" w14:textId="77777777" w:rsidR="00AF7732" w:rsidRDefault="00AF7732" w:rsidP="00A806AB">
      <w:pPr>
        <w:spacing w:line="480" w:lineRule="auto"/>
        <w:jc w:val="both"/>
      </w:pPr>
    </w:p>
    <w:p w14:paraId="3604824D" w14:textId="77777777" w:rsidR="00AF7732" w:rsidRDefault="00AF7732" w:rsidP="00A806AB">
      <w:pPr>
        <w:spacing w:line="480" w:lineRule="auto"/>
        <w:jc w:val="both"/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955"/>
        <w:gridCol w:w="2164"/>
        <w:gridCol w:w="2288"/>
        <w:gridCol w:w="2311"/>
        <w:gridCol w:w="2064"/>
      </w:tblGrid>
      <w:tr w:rsidR="00CF4F75" w14:paraId="6CFDA293" w14:textId="77777777" w:rsidTr="00CF4F75">
        <w:trPr>
          <w:trHeight w:val="576"/>
        </w:trPr>
        <w:tc>
          <w:tcPr>
            <w:tcW w:w="955" w:type="dxa"/>
          </w:tcPr>
          <w:p w14:paraId="6607968B" w14:textId="77777777" w:rsidR="006A2BEF" w:rsidRDefault="006A2BEF" w:rsidP="001A0380">
            <w:pPr>
              <w:spacing w:line="480" w:lineRule="auto"/>
            </w:pPr>
          </w:p>
        </w:tc>
        <w:tc>
          <w:tcPr>
            <w:tcW w:w="2164" w:type="dxa"/>
          </w:tcPr>
          <w:p w14:paraId="4C2732C7" w14:textId="77777777" w:rsidR="006A2BEF" w:rsidRDefault="00CC115D" w:rsidP="00CF4F75">
            <w:pPr>
              <w:jc w:val="center"/>
            </w:pPr>
            <w:r>
              <w:t>Minutes per year</w:t>
            </w:r>
          </w:p>
        </w:tc>
        <w:tc>
          <w:tcPr>
            <w:tcW w:w="2288" w:type="dxa"/>
          </w:tcPr>
          <w:p w14:paraId="16D3E5CB" w14:textId="77777777" w:rsidR="006A2BEF" w:rsidRDefault="00CF4F75" w:rsidP="00CF4F75">
            <w:pPr>
              <w:spacing w:line="480" w:lineRule="auto"/>
              <w:jc w:val="center"/>
            </w:pPr>
            <w:r>
              <w:t>Availability</w:t>
            </w:r>
          </w:p>
        </w:tc>
        <w:tc>
          <w:tcPr>
            <w:tcW w:w="2311" w:type="dxa"/>
          </w:tcPr>
          <w:p w14:paraId="5A236CFE" w14:textId="77777777" w:rsidR="00CF4F75" w:rsidRDefault="00CF4F75" w:rsidP="00CF4F75">
            <w:pPr>
              <w:jc w:val="center"/>
            </w:pPr>
            <w:r>
              <w:t>Downtime</w:t>
            </w:r>
          </w:p>
          <w:p w14:paraId="1C193AB8" w14:textId="77777777" w:rsidR="00CF4F75" w:rsidRDefault="00CF4F75" w:rsidP="00CF4F75">
            <w:pPr>
              <w:jc w:val="center"/>
            </w:pPr>
            <w:r>
              <w:t>(min/year)</w:t>
            </w:r>
          </w:p>
        </w:tc>
        <w:tc>
          <w:tcPr>
            <w:tcW w:w="2064" w:type="dxa"/>
          </w:tcPr>
          <w:p w14:paraId="0EEE74A5" w14:textId="77777777" w:rsidR="006A2BEF" w:rsidRDefault="00CF4F75" w:rsidP="00CF4F75">
            <w:pPr>
              <w:spacing w:line="480" w:lineRule="auto"/>
              <w:jc w:val="center"/>
            </w:pPr>
            <w:r>
              <w:t>Downtime Cost</w:t>
            </w:r>
          </w:p>
        </w:tc>
      </w:tr>
      <w:tr w:rsidR="00CF4F75" w14:paraId="4784E66F" w14:textId="77777777" w:rsidTr="00CF4F75">
        <w:trPr>
          <w:trHeight w:val="618"/>
        </w:trPr>
        <w:tc>
          <w:tcPr>
            <w:tcW w:w="955" w:type="dxa"/>
          </w:tcPr>
          <w:p w14:paraId="5952C9ED" w14:textId="77777777" w:rsidR="006A2BEF" w:rsidRDefault="006A2BEF" w:rsidP="006A2BEF">
            <w:pPr>
              <w:spacing w:line="480" w:lineRule="auto"/>
              <w:jc w:val="center"/>
            </w:pPr>
            <w:r>
              <w:t>Tier I</w:t>
            </w:r>
          </w:p>
        </w:tc>
        <w:tc>
          <w:tcPr>
            <w:tcW w:w="2164" w:type="dxa"/>
          </w:tcPr>
          <w:p w14:paraId="581971EC" w14:textId="77777777" w:rsidR="006A2BEF" w:rsidRDefault="00CF4F75" w:rsidP="00CC115D">
            <w:pPr>
              <w:spacing w:line="480" w:lineRule="auto"/>
              <w:jc w:val="center"/>
            </w:pPr>
            <w:r>
              <w:t>525,600</w:t>
            </w:r>
          </w:p>
        </w:tc>
        <w:tc>
          <w:tcPr>
            <w:tcW w:w="2288" w:type="dxa"/>
          </w:tcPr>
          <w:p w14:paraId="633448FE" w14:textId="77777777" w:rsidR="006A2BEF" w:rsidRDefault="00CF4F75" w:rsidP="00CF4F75">
            <w:pPr>
              <w:spacing w:line="480" w:lineRule="auto"/>
              <w:jc w:val="center"/>
            </w:pPr>
            <w:r>
              <w:t>99.67%</w:t>
            </w:r>
          </w:p>
        </w:tc>
        <w:tc>
          <w:tcPr>
            <w:tcW w:w="2311" w:type="dxa"/>
          </w:tcPr>
          <w:p w14:paraId="67E12571" w14:textId="77777777" w:rsidR="006A2BEF" w:rsidRDefault="00CF4F75" w:rsidP="00CF4F75">
            <w:pPr>
              <w:spacing w:line="480" w:lineRule="auto"/>
              <w:jc w:val="center"/>
            </w:pPr>
            <w:r>
              <w:t>1734.48</w:t>
            </w:r>
          </w:p>
        </w:tc>
        <w:tc>
          <w:tcPr>
            <w:tcW w:w="2064" w:type="dxa"/>
          </w:tcPr>
          <w:p w14:paraId="436652D7" w14:textId="77777777" w:rsidR="006A2BEF" w:rsidRDefault="00CF4F75" w:rsidP="00CF4F75">
            <w:pPr>
              <w:spacing w:line="480" w:lineRule="auto"/>
              <w:jc w:val="center"/>
            </w:pPr>
            <w:r>
              <w:t>$25,670,304</w:t>
            </w:r>
          </w:p>
        </w:tc>
      </w:tr>
      <w:tr w:rsidR="00CF4F75" w14:paraId="06971860" w14:textId="77777777" w:rsidTr="00CF4F75">
        <w:trPr>
          <w:trHeight w:val="605"/>
        </w:trPr>
        <w:tc>
          <w:tcPr>
            <w:tcW w:w="955" w:type="dxa"/>
          </w:tcPr>
          <w:p w14:paraId="5089127B" w14:textId="77777777" w:rsidR="006A2BEF" w:rsidRDefault="006A2BEF" w:rsidP="006A2BEF">
            <w:pPr>
              <w:spacing w:line="480" w:lineRule="auto"/>
              <w:jc w:val="center"/>
            </w:pPr>
            <w:r>
              <w:t>Tier III</w:t>
            </w:r>
          </w:p>
        </w:tc>
        <w:tc>
          <w:tcPr>
            <w:tcW w:w="2164" w:type="dxa"/>
          </w:tcPr>
          <w:p w14:paraId="3596D093" w14:textId="77777777" w:rsidR="006A2BEF" w:rsidRDefault="00CF4F75" w:rsidP="00CF4F75">
            <w:pPr>
              <w:spacing w:line="480" w:lineRule="auto"/>
              <w:jc w:val="center"/>
            </w:pPr>
            <w:r>
              <w:t>525,600</w:t>
            </w:r>
          </w:p>
        </w:tc>
        <w:tc>
          <w:tcPr>
            <w:tcW w:w="2288" w:type="dxa"/>
          </w:tcPr>
          <w:p w14:paraId="75CC73B6" w14:textId="77777777" w:rsidR="006A2BEF" w:rsidRDefault="00CF4F75" w:rsidP="00CF4F75">
            <w:pPr>
              <w:spacing w:line="480" w:lineRule="auto"/>
              <w:jc w:val="center"/>
            </w:pPr>
            <w:r>
              <w:t>99.98%</w:t>
            </w:r>
          </w:p>
        </w:tc>
        <w:tc>
          <w:tcPr>
            <w:tcW w:w="2311" w:type="dxa"/>
          </w:tcPr>
          <w:p w14:paraId="3F8004EE" w14:textId="77777777" w:rsidR="006A2BEF" w:rsidRDefault="00CF4F75" w:rsidP="00CF4F75">
            <w:pPr>
              <w:spacing w:line="480" w:lineRule="auto"/>
              <w:jc w:val="center"/>
            </w:pPr>
            <w:r>
              <w:t>105.12</w:t>
            </w:r>
          </w:p>
        </w:tc>
        <w:tc>
          <w:tcPr>
            <w:tcW w:w="2064" w:type="dxa"/>
          </w:tcPr>
          <w:p w14:paraId="2D49E306" w14:textId="77777777" w:rsidR="006A2BEF" w:rsidRDefault="00CF4F75" w:rsidP="00CF4F75">
            <w:pPr>
              <w:spacing w:line="480" w:lineRule="auto"/>
              <w:jc w:val="center"/>
            </w:pPr>
            <w:r>
              <w:t>$1,555,776</w:t>
            </w:r>
          </w:p>
        </w:tc>
      </w:tr>
      <w:tr w:rsidR="00CF4F75" w14:paraId="1ABD7890" w14:textId="77777777" w:rsidTr="00CF4F75">
        <w:trPr>
          <w:trHeight w:val="464"/>
        </w:trPr>
        <w:tc>
          <w:tcPr>
            <w:tcW w:w="955" w:type="dxa"/>
          </w:tcPr>
          <w:p w14:paraId="6D8EE161" w14:textId="77777777" w:rsidR="006A2BEF" w:rsidRDefault="006A2BEF" w:rsidP="001A0380">
            <w:pPr>
              <w:spacing w:line="480" w:lineRule="auto"/>
            </w:pPr>
          </w:p>
        </w:tc>
        <w:tc>
          <w:tcPr>
            <w:tcW w:w="2164" w:type="dxa"/>
          </w:tcPr>
          <w:p w14:paraId="1D694385" w14:textId="77777777" w:rsidR="006A2BEF" w:rsidRDefault="006A2BEF" w:rsidP="001A0380">
            <w:pPr>
              <w:spacing w:line="480" w:lineRule="auto"/>
            </w:pPr>
          </w:p>
        </w:tc>
        <w:tc>
          <w:tcPr>
            <w:tcW w:w="2288" w:type="dxa"/>
          </w:tcPr>
          <w:p w14:paraId="6A5013C4" w14:textId="77777777" w:rsidR="006A2BEF" w:rsidRDefault="006A2BEF" w:rsidP="001A0380">
            <w:pPr>
              <w:spacing w:line="480" w:lineRule="auto"/>
            </w:pPr>
          </w:p>
        </w:tc>
        <w:tc>
          <w:tcPr>
            <w:tcW w:w="2311" w:type="dxa"/>
          </w:tcPr>
          <w:p w14:paraId="1D1326DD" w14:textId="77777777" w:rsidR="006A2BEF" w:rsidRDefault="00CF4F75" w:rsidP="00CF4F75">
            <w:pPr>
              <w:spacing w:line="480" w:lineRule="auto"/>
              <w:jc w:val="center"/>
            </w:pPr>
            <w:r>
              <w:t>Savings per year</w:t>
            </w:r>
          </w:p>
        </w:tc>
        <w:tc>
          <w:tcPr>
            <w:tcW w:w="2064" w:type="dxa"/>
          </w:tcPr>
          <w:p w14:paraId="02C6ABE7" w14:textId="77777777" w:rsidR="006A2BEF" w:rsidRDefault="00CF4F75" w:rsidP="00CF4F75">
            <w:pPr>
              <w:spacing w:line="480" w:lineRule="auto"/>
              <w:jc w:val="center"/>
            </w:pPr>
            <w:r>
              <w:t>$24,114,528</w:t>
            </w:r>
          </w:p>
        </w:tc>
      </w:tr>
    </w:tbl>
    <w:p w14:paraId="71C6F644" w14:textId="77777777" w:rsidR="001A0380" w:rsidRDefault="001A0380" w:rsidP="001A0380">
      <w:pPr>
        <w:spacing w:line="480" w:lineRule="auto"/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470"/>
        <w:gridCol w:w="2075"/>
        <w:gridCol w:w="1984"/>
        <w:gridCol w:w="2126"/>
        <w:gridCol w:w="2127"/>
      </w:tblGrid>
      <w:tr w:rsidR="00CF4F75" w14:paraId="32E5953C" w14:textId="77777777" w:rsidTr="00852193">
        <w:trPr>
          <w:trHeight w:val="520"/>
        </w:trPr>
        <w:tc>
          <w:tcPr>
            <w:tcW w:w="1470" w:type="dxa"/>
          </w:tcPr>
          <w:p w14:paraId="78E28A42" w14:textId="77777777" w:rsidR="00CF4F75" w:rsidRDefault="00CF4F75" w:rsidP="001A0380">
            <w:pPr>
              <w:spacing w:line="480" w:lineRule="auto"/>
            </w:pPr>
          </w:p>
        </w:tc>
        <w:tc>
          <w:tcPr>
            <w:tcW w:w="2075" w:type="dxa"/>
          </w:tcPr>
          <w:p w14:paraId="25DEF40C" w14:textId="77777777" w:rsidR="00CF4F75" w:rsidRDefault="00CF4F75" w:rsidP="00CF4F75">
            <w:pPr>
              <w:spacing w:line="480" w:lineRule="auto"/>
              <w:jc w:val="center"/>
            </w:pPr>
            <w:r>
              <w:t>Year 1</w:t>
            </w:r>
          </w:p>
        </w:tc>
        <w:tc>
          <w:tcPr>
            <w:tcW w:w="1984" w:type="dxa"/>
          </w:tcPr>
          <w:p w14:paraId="754543C0" w14:textId="77777777" w:rsidR="00CF4F75" w:rsidRDefault="00CF4F75" w:rsidP="00CF4F75">
            <w:pPr>
              <w:spacing w:line="480" w:lineRule="auto"/>
              <w:ind w:firstLine="720"/>
            </w:pPr>
            <w:r>
              <w:t>Year 2</w:t>
            </w:r>
          </w:p>
        </w:tc>
        <w:tc>
          <w:tcPr>
            <w:tcW w:w="2126" w:type="dxa"/>
          </w:tcPr>
          <w:p w14:paraId="7D452351" w14:textId="77777777" w:rsidR="00CF4F75" w:rsidRDefault="00CF4F75" w:rsidP="00CF4F75">
            <w:pPr>
              <w:spacing w:line="480" w:lineRule="auto"/>
              <w:jc w:val="center"/>
            </w:pPr>
            <w:r>
              <w:t>Year 3</w:t>
            </w:r>
          </w:p>
        </w:tc>
        <w:tc>
          <w:tcPr>
            <w:tcW w:w="2127" w:type="dxa"/>
          </w:tcPr>
          <w:p w14:paraId="6068E351" w14:textId="77777777" w:rsidR="00CF4F75" w:rsidRDefault="00CF4F75" w:rsidP="00CF4F75">
            <w:pPr>
              <w:spacing w:line="480" w:lineRule="auto"/>
              <w:jc w:val="center"/>
            </w:pPr>
            <w:r>
              <w:t>Total</w:t>
            </w:r>
          </w:p>
        </w:tc>
      </w:tr>
      <w:tr w:rsidR="00CF4F75" w14:paraId="35B0E700" w14:textId="77777777" w:rsidTr="00CF4F75">
        <w:tc>
          <w:tcPr>
            <w:tcW w:w="1470" w:type="dxa"/>
          </w:tcPr>
          <w:p w14:paraId="2C9AED79" w14:textId="77777777" w:rsidR="00CF4F75" w:rsidRDefault="00CF4F75" w:rsidP="00CF4F75">
            <w:pPr>
              <w:spacing w:line="480" w:lineRule="auto"/>
              <w:jc w:val="center"/>
            </w:pPr>
            <w:r>
              <w:t>Benefit</w:t>
            </w:r>
          </w:p>
        </w:tc>
        <w:tc>
          <w:tcPr>
            <w:tcW w:w="2075" w:type="dxa"/>
          </w:tcPr>
          <w:p w14:paraId="4E950A28" w14:textId="77777777" w:rsidR="00CF4F75" w:rsidRDefault="00852193" w:rsidP="00852193">
            <w:pPr>
              <w:spacing w:line="480" w:lineRule="auto"/>
              <w:jc w:val="center"/>
            </w:pPr>
            <w:r>
              <w:t>$0</w:t>
            </w:r>
          </w:p>
        </w:tc>
        <w:tc>
          <w:tcPr>
            <w:tcW w:w="1984" w:type="dxa"/>
          </w:tcPr>
          <w:p w14:paraId="46B37A25" w14:textId="77777777" w:rsidR="00CF4F75" w:rsidRDefault="00852193" w:rsidP="00852193">
            <w:pPr>
              <w:spacing w:line="480" w:lineRule="auto"/>
              <w:jc w:val="center"/>
            </w:pPr>
            <w:r>
              <w:t>$24,114,528</w:t>
            </w:r>
          </w:p>
        </w:tc>
        <w:tc>
          <w:tcPr>
            <w:tcW w:w="2126" w:type="dxa"/>
          </w:tcPr>
          <w:p w14:paraId="6E61C092" w14:textId="77777777" w:rsidR="00CF4F75" w:rsidRDefault="00852193" w:rsidP="00852193">
            <w:pPr>
              <w:spacing w:line="480" w:lineRule="auto"/>
              <w:jc w:val="center"/>
            </w:pPr>
            <w:r>
              <w:t>$24,114,528</w:t>
            </w:r>
          </w:p>
        </w:tc>
        <w:tc>
          <w:tcPr>
            <w:tcW w:w="2127" w:type="dxa"/>
          </w:tcPr>
          <w:p w14:paraId="372586CB" w14:textId="77777777" w:rsidR="00CF4F75" w:rsidRDefault="00852193" w:rsidP="00852193">
            <w:pPr>
              <w:spacing w:line="480" w:lineRule="auto"/>
              <w:jc w:val="center"/>
            </w:pPr>
            <w:r>
              <w:t>$48,229,056</w:t>
            </w:r>
          </w:p>
        </w:tc>
      </w:tr>
      <w:tr w:rsidR="00CF4F75" w14:paraId="7F5497F1" w14:textId="77777777" w:rsidTr="00852193">
        <w:trPr>
          <w:trHeight w:val="605"/>
        </w:trPr>
        <w:tc>
          <w:tcPr>
            <w:tcW w:w="1470" w:type="dxa"/>
          </w:tcPr>
          <w:p w14:paraId="5E9AA8E4" w14:textId="77777777" w:rsidR="00CF4F75" w:rsidRDefault="00CF4F75" w:rsidP="00CF4F75">
            <w:pPr>
              <w:spacing w:line="480" w:lineRule="auto"/>
              <w:jc w:val="center"/>
            </w:pPr>
            <w:r>
              <w:t>Cost</w:t>
            </w:r>
          </w:p>
        </w:tc>
        <w:tc>
          <w:tcPr>
            <w:tcW w:w="2075" w:type="dxa"/>
          </w:tcPr>
          <w:p w14:paraId="6E4E0E03" w14:textId="77777777" w:rsidR="00CF4F75" w:rsidRDefault="00852193" w:rsidP="00852193">
            <w:pPr>
              <w:spacing w:line="480" w:lineRule="auto"/>
              <w:jc w:val="center"/>
            </w:pPr>
            <w:r>
              <w:t>$35,000,000</w:t>
            </w:r>
          </w:p>
        </w:tc>
        <w:tc>
          <w:tcPr>
            <w:tcW w:w="1984" w:type="dxa"/>
          </w:tcPr>
          <w:p w14:paraId="437C8B77" w14:textId="77777777" w:rsidR="00CF4F75" w:rsidRDefault="00852193" w:rsidP="00852193">
            <w:pPr>
              <w:spacing w:line="480" w:lineRule="auto"/>
              <w:jc w:val="center"/>
            </w:pPr>
            <w:r>
              <w:t>$0</w:t>
            </w:r>
          </w:p>
        </w:tc>
        <w:tc>
          <w:tcPr>
            <w:tcW w:w="2126" w:type="dxa"/>
          </w:tcPr>
          <w:p w14:paraId="1BFF302C" w14:textId="77777777" w:rsidR="00CF4F75" w:rsidRDefault="00852193" w:rsidP="00852193">
            <w:pPr>
              <w:spacing w:line="480" w:lineRule="auto"/>
              <w:jc w:val="center"/>
            </w:pPr>
            <w:r>
              <w:t>$0</w:t>
            </w:r>
          </w:p>
        </w:tc>
        <w:tc>
          <w:tcPr>
            <w:tcW w:w="2127" w:type="dxa"/>
          </w:tcPr>
          <w:p w14:paraId="27E7B697" w14:textId="77777777" w:rsidR="00CF4F75" w:rsidRDefault="00852193" w:rsidP="00852193">
            <w:pPr>
              <w:spacing w:line="480" w:lineRule="auto"/>
              <w:jc w:val="center"/>
            </w:pPr>
            <w:r>
              <w:t>$35,000,000</w:t>
            </w:r>
          </w:p>
        </w:tc>
      </w:tr>
      <w:tr w:rsidR="00CF4F75" w14:paraId="3823201B" w14:textId="77777777" w:rsidTr="00CF4F75">
        <w:tc>
          <w:tcPr>
            <w:tcW w:w="1470" w:type="dxa"/>
          </w:tcPr>
          <w:p w14:paraId="6B55F7A0" w14:textId="77777777" w:rsidR="00CF4F75" w:rsidRDefault="00CF4F75" w:rsidP="001A0380">
            <w:pPr>
              <w:spacing w:line="480" w:lineRule="auto"/>
            </w:pPr>
          </w:p>
        </w:tc>
        <w:tc>
          <w:tcPr>
            <w:tcW w:w="2075" w:type="dxa"/>
          </w:tcPr>
          <w:p w14:paraId="5C09B7B9" w14:textId="77777777" w:rsidR="00CF4F75" w:rsidRDefault="00CF4F75" w:rsidP="001A0380">
            <w:pPr>
              <w:spacing w:line="480" w:lineRule="auto"/>
            </w:pPr>
          </w:p>
        </w:tc>
        <w:tc>
          <w:tcPr>
            <w:tcW w:w="1984" w:type="dxa"/>
          </w:tcPr>
          <w:p w14:paraId="7BDA251F" w14:textId="77777777" w:rsidR="00CF4F75" w:rsidRDefault="00CF4F75" w:rsidP="001A0380">
            <w:pPr>
              <w:spacing w:line="480" w:lineRule="auto"/>
            </w:pPr>
          </w:p>
        </w:tc>
        <w:tc>
          <w:tcPr>
            <w:tcW w:w="2126" w:type="dxa"/>
          </w:tcPr>
          <w:p w14:paraId="7ACF0C32" w14:textId="77777777" w:rsidR="00CF4F75" w:rsidRDefault="00852193" w:rsidP="00852193">
            <w:pPr>
              <w:spacing w:line="480" w:lineRule="auto"/>
              <w:jc w:val="center"/>
            </w:pPr>
            <w:r>
              <w:t>3-year Net Benefit</w:t>
            </w:r>
          </w:p>
        </w:tc>
        <w:tc>
          <w:tcPr>
            <w:tcW w:w="2127" w:type="dxa"/>
          </w:tcPr>
          <w:p w14:paraId="7413D6C4" w14:textId="77777777" w:rsidR="00CF4F75" w:rsidRDefault="00852193" w:rsidP="00852193">
            <w:pPr>
              <w:spacing w:line="480" w:lineRule="auto"/>
              <w:jc w:val="center"/>
            </w:pPr>
            <w:r>
              <w:t>$13,229,056</w:t>
            </w:r>
          </w:p>
        </w:tc>
      </w:tr>
    </w:tbl>
    <w:p w14:paraId="36936BE0" w14:textId="77777777" w:rsidR="00CF4F75" w:rsidRDefault="00CF4F75" w:rsidP="001A0380">
      <w:pPr>
        <w:spacing w:line="480" w:lineRule="auto"/>
      </w:pPr>
    </w:p>
    <w:p w14:paraId="509E2F77" w14:textId="77777777" w:rsidR="00AF7732" w:rsidRPr="00AF7732" w:rsidRDefault="00AF7732" w:rsidP="00AF7732">
      <w:pPr>
        <w:spacing w:line="480" w:lineRule="auto"/>
        <w:jc w:val="center"/>
        <w:rPr>
          <w:b/>
        </w:rPr>
      </w:pPr>
      <w:r w:rsidRPr="00AF7732">
        <w:rPr>
          <w:b/>
        </w:rPr>
        <w:t>Work Cited</w:t>
      </w:r>
    </w:p>
    <w:p w14:paraId="5F8FBFD2" w14:textId="77777777" w:rsidR="00F321D2" w:rsidRDefault="00F321D2" w:rsidP="00F321D2">
      <w:pPr>
        <w:ind w:left="720" w:hanging="720"/>
        <w:rPr>
          <w:rFonts w:eastAsia="Times New Roman" w:cs="Times New Roman"/>
          <w:color w:val="000000"/>
          <w:shd w:val="clear" w:color="auto" w:fill="FFFFFF"/>
        </w:rPr>
      </w:pPr>
      <w:r w:rsidRPr="00F321D2">
        <w:rPr>
          <w:rFonts w:eastAsia="Times New Roman" w:cs="Times New Roman"/>
          <w:color w:val="000000"/>
          <w:shd w:val="clear" w:color="auto" w:fill="FFFFFF"/>
        </w:rPr>
        <w:t>Staff, Colocation American. “Data Center Tier Rating Breakdown - Tier 1, 2, 3, 4 - CLA.” </w:t>
      </w:r>
      <w:r w:rsidRPr="00F321D2">
        <w:rPr>
          <w:rFonts w:eastAsia="Times New Roman" w:cs="Times New Roman"/>
          <w:i/>
          <w:iCs/>
          <w:color w:val="000000"/>
          <w:shd w:val="clear" w:color="auto" w:fill="FFFFFF"/>
        </w:rPr>
        <w:t>Colocation America</w:t>
      </w:r>
      <w:r w:rsidRPr="00F321D2">
        <w:rPr>
          <w:rFonts w:eastAsia="Times New Roman" w:cs="Times New Roman"/>
          <w:color w:val="000000"/>
          <w:shd w:val="clear" w:color="auto" w:fill="FFFFFF"/>
        </w:rPr>
        <w:t xml:space="preserve">, Colocation American Staff, 19 Apr. 2017, </w:t>
      </w:r>
      <w:hyperlink r:id="rId4" w:history="1">
        <w:r w:rsidR="00A55AC7" w:rsidRPr="00955C9D">
          <w:rPr>
            <w:rStyle w:val="Hyperlink"/>
            <w:rFonts w:eastAsia="Times New Roman" w:cs="Times New Roman"/>
            <w:shd w:val="clear" w:color="auto" w:fill="FFFFFF"/>
          </w:rPr>
          <w:t>www.colocationamerica.com/data-center/tier-standards-overview.htm</w:t>
        </w:r>
      </w:hyperlink>
      <w:r w:rsidRPr="00F321D2">
        <w:rPr>
          <w:rFonts w:eastAsia="Times New Roman" w:cs="Times New Roman"/>
          <w:color w:val="000000"/>
          <w:shd w:val="clear" w:color="auto" w:fill="FFFFFF"/>
        </w:rPr>
        <w:t>.</w:t>
      </w:r>
    </w:p>
    <w:p w14:paraId="28BEC218" w14:textId="77777777" w:rsidR="00F321D2" w:rsidRPr="00F321D2" w:rsidRDefault="00F321D2" w:rsidP="00A55AC7">
      <w:pPr>
        <w:tabs>
          <w:tab w:val="left" w:pos="5060"/>
        </w:tabs>
        <w:rPr>
          <w:rFonts w:eastAsia="Times New Roman" w:cs="Times New Roman"/>
        </w:rPr>
      </w:pPr>
      <w:r w:rsidRPr="00F321D2">
        <w:rPr>
          <w:rFonts w:eastAsia="Times New Roman" w:cs="Times New Roman"/>
        </w:rPr>
        <w:tab/>
      </w:r>
    </w:p>
    <w:p w14:paraId="3928CE4A" w14:textId="77777777" w:rsidR="00AF7732" w:rsidRDefault="00A55AC7" w:rsidP="00A55AC7">
      <w:pPr>
        <w:ind w:left="720" w:hanging="720"/>
      </w:pPr>
      <w:r w:rsidRPr="00A55AC7">
        <w:t xml:space="preserve">Beal, </w:t>
      </w:r>
      <w:proofErr w:type="spellStart"/>
      <w:r w:rsidRPr="00A55AC7">
        <w:t>Vangie</w:t>
      </w:r>
      <w:proofErr w:type="spellEnd"/>
      <w:r w:rsidRPr="00A55AC7">
        <w:t xml:space="preserve">. “Data Center Tiers.” What Is Data Center Tiers? </w:t>
      </w:r>
      <w:proofErr w:type="spellStart"/>
      <w:r w:rsidRPr="00A55AC7">
        <w:t>Webopedia</w:t>
      </w:r>
      <w:proofErr w:type="spellEnd"/>
      <w:r w:rsidRPr="00A55AC7">
        <w:t xml:space="preserve"> Definition, </w:t>
      </w:r>
      <w:proofErr w:type="spellStart"/>
      <w:r w:rsidRPr="00A55AC7">
        <w:t>Webopedia</w:t>
      </w:r>
      <w:proofErr w:type="spellEnd"/>
      <w:r w:rsidRPr="00A55AC7">
        <w:t xml:space="preserve">, 4 May 2012, </w:t>
      </w:r>
      <w:hyperlink r:id="rId5" w:history="1">
        <w:r w:rsidRPr="00955C9D">
          <w:rPr>
            <w:rStyle w:val="Hyperlink"/>
          </w:rPr>
          <w:t>www.webopedia.com/TERM/D/data_center_tiers.html</w:t>
        </w:r>
      </w:hyperlink>
      <w:r w:rsidRPr="00A55AC7">
        <w:t>.</w:t>
      </w:r>
    </w:p>
    <w:p w14:paraId="6D7EAFDE" w14:textId="77777777" w:rsidR="00A55AC7" w:rsidRDefault="00A55AC7" w:rsidP="00A55AC7">
      <w:pPr>
        <w:ind w:left="720" w:hanging="720"/>
      </w:pPr>
    </w:p>
    <w:p w14:paraId="302DC053" w14:textId="77777777" w:rsidR="0042395A" w:rsidRPr="0042395A" w:rsidRDefault="0042395A" w:rsidP="0042395A">
      <w:pPr>
        <w:rPr>
          <w:rFonts w:ascii="Times New Roman" w:eastAsia="Times New Roman" w:hAnsi="Times New Roman" w:cs="Times New Roman"/>
        </w:rPr>
      </w:pPr>
      <w:r w:rsidRPr="0042395A">
        <w:rPr>
          <w:rFonts w:ascii="Times New Roman" w:eastAsia="Times New Roman" w:hAnsi="Times New Roman" w:cs="Times New Roman"/>
        </w:rPr>
        <w:t>“Tier Standard: Topology.” Uptime Institute. 2010. Print.</w:t>
      </w:r>
    </w:p>
    <w:p w14:paraId="6638008C" w14:textId="77777777" w:rsidR="00A55AC7" w:rsidRPr="00F321D2" w:rsidRDefault="00A55AC7" w:rsidP="0042395A"/>
    <w:sectPr w:rsidR="00A55AC7" w:rsidRPr="00F321D2" w:rsidSect="00A07A7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D9"/>
    <w:rsid w:val="000446A4"/>
    <w:rsid w:val="0011045E"/>
    <w:rsid w:val="001A0380"/>
    <w:rsid w:val="001A240C"/>
    <w:rsid w:val="002537F2"/>
    <w:rsid w:val="00323CE7"/>
    <w:rsid w:val="0042395A"/>
    <w:rsid w:val="004D75E6"/>
    <w:rsid w:val="0056765A"/>
    <w:rsid w:val="005D197F"/>
    <w:rsid w:val="005F7353"/>
    <w:rsid w:val="0067522D"/>
    <w:rsid w:val="006A2BEF"/>
    <w:rsid w:val="00852193"/>
    <w:rsid w:val="00A07A71"/>
    <w:rsid w:val="00A52AA1"/>
    <w:rsid w:val="00A55AC7"/>
    <w:rsid w:val="00A806AB"/>
    <w:rsid w:val="00AD3967"/>
    <w:rsid w:val="00AF7732"/>
    <w:rsid w:val="00B14044"/>
    <w:rsid w:val="00C04858"/>
    <w:rsid w:val="00C65BD9"/>
    <w:rsid w:val="00CC115D"/>
    <w:rsid w:val="00CF4F75"/>
    <w:rsid w:val="00F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3E4E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B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text">
    <w:name w:val="citation_text"/>
    <w:basedOn w:val="DefaultParagraphFont"/>
    <w:rsid w:val="00F321D2"/>
  </w:style>
  <w:style w:type="character" w:styleId="Hyperlink">
    <w:name w:val="Hyperlink"/>
    <w:basedOn w:val="DefaultParagraphFont"/>
    <w:uiPriority w:val="99"/>
    <w:unhideWhenUsed/>
    <w:rsid w:val="00A55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olocationamerica.com/data-center/tier-standards-overview.htm" TargetMode="External"/><Relationship Id="rId5" Type="http://schemas.openxmlformats.org/officeDocument/2006/relationships/hyperlink" Target="http://www.webopedia.com/TERM/D/data_center_tiers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385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Quang Dau</dc:creator>
  <cp:keywords/>
  <dc:description/>
  <cp:lastModifiedBy>Hung Quang Dau</cp:lastModifiedBy>
  <cp:revision>4</cp:revision>
  <dcterms:created xsi:type="dcterms:W3CDTF">2017-09-15T14:10:00Z</dcterms:created>
  <dcterms:modified xsi:type="dcterms:W3CDTF">2017-10-11T01:34:00Z</dcterms:modified>
</cp:coreProperties>
</file>