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232C0" w14:textId="77777777" w:rsidR="0059622A" w:rsidRPr="00856AC2" w:rsidRDefault="002E3AB3" w:rsidP="005949F6">
      <w:pPr>
        <w:spacing w:line="276" w:lineRule="auto"/>
        <w:jc w:val="right"/>
      </w:pPr>
      <w:bookmarkStart w:id="0" w:name="_GoBack"/>
      <w:bookmarkEnd w:id="0"/>
      <w:r w:rsidRPr="00856AC2">
        <w:t>Henry Wadsworth</w:t>
      </w:r>
    </w:p>
    <w:p w14:paraId="6B423AF9" w14:textId="06B1B7A7" w:rsidR="00FF5593" w:rsidRPr="00856AC2" w:rsidRDefault="00FF5593" w:rsidP="005949F6">
      <w:pPr>
        <w:spacing w:line="276" w:lineRule="auto"/>
        <w:jc w:val="right"/>
      </w:pPr>
      <w:r w:rsidRPr="00856AC2">
        <w:t>Flash Research Assignment #1</w:t>
      </w:r>
    </w:p>
    <w:p w14:paraId="3D41DE0C" w14:textId="77777777" w:rsidR="002E3AB3" w:rsidRPr="00856AC2" w:rsidRDefault="002E3AB3" w:rsidP="005949F6">
      <w:pPr>
        <w:spacing w:line="276" w:lineRule="auto"/>
        <w:jc w:val="right"/>
      </w:pPr>
    </w:p>
    <w:p w14:paraId="22F03439" w14:textId="313F7A43" w:rsidR="002E3AB3" w:rsidRPr="00856AC2" w:rsidRDefault="00FF5593" w:rsidP="005949F6">
      <w:pPr>
        <w:spacing w:line="276" w:lineRule="auto"/>
        <w:jc w:val="center"/>
      </w:pPr>
      <w:r w:rsidRPr="00856AC2">
        <w:t>Data Centers and Networking</w:t>
      </w:r>
    </w:p>
    <w:p w14:paraId="74103B95" w14:textId="77777777" w:rsidR="002E3AB3" w:rsidRPr="00856AC2" w:rsidRDefault="002E3AB3" w:rsidP="005949F6">
      <w:pPr>
        <w:spacing w:line="276" w:lineRule="auto"/>
        <w:jc w:val="center"/>
      </w:pPr>
    </w:p>
    <w:p w14:paraId="2DCAAAE8" w14:textId="00AC60F7" w:rsidR="002E3AB3" w:rsidRPr="00856AC2" w:rsidRDefault="00B97CF0" w:rsidP="005949F6">
      <w:pPr>
        <w:spacing w:line="276" w:lineRule="auto"/>
      </w:pPr>
      <w:r w:rsidRPr="00856AC2">
        <w:tab/>
        <w:t xml:space="preserve">This past year, we’ve had </w:t>
      </w:r>
      <w:r w:rsidR="00F06AB5" w:rsidRPr="00856AC2">
        <w:t>a high number of ou</w:t>
      </w:r>
      <w:r w:rsidR="00E363CC" w:rsidRPr="00856AC2">
        <w:t>tages to our ERP system</w:t>
      </w:r>
      <w:r w:rsidR="008902D6">
        <w:t>,</w:t>
      </w:r>
      <w:r w:rsidR="00E363CC" w:rsidRPr="00856AC2">
        <w:t xml:space="preserve"> costing our firm $14,800 per m</w:t>
      </w:r>
      <w:r w:rsidR="008902D6">
        <w:t>inute of downtime. T</w:t>
      </w:r>
      <w:r w:rsidR="00E363CC" w:rsidRPr="00856AC2">
        <w:t xml:space="preserve">his </w:t>
      </w:r>
      <w:r w:rsidR="00A31DA6">
        <w:t>adds up to $25,592,515</w:t>
      </w:r>
      <w:r w:rsidR="00E363CC" w:rsidRPr="00856AC2">
        <w:t xml:space="preserve"> per year of capital lost to downtime. </w:t>
      </w:r>
      <w:r w:rsidR="003C5D48" w:rsidRPr="00856AC2">
        <w:t xml:space="preserve">To correct this, we should invest in our infrastructure and upgrade our Tier I </w:t>
      </w:r>
      <w:r w:rsidR="0071079C" w:rsidRPr="00856AC2">
        <w:t xml:space="preserve">Basic Capacity </w:t>
      </w:r>
      <w:r w:rsidR="003C5D48" w:rsidRPr="00856AC2">
        <w:t>data center to a Tier III</w:t>
      </w:r>
      <w:r w:rsidR="0071079C" w:rsidRPr="00856AC2">
        <w:t xml:space="preserve"> Concurrently Maintainable</w:t>
      </w:r>
      <w:r w:rsidR="003C5D48" w:rsidRPr="00856AC2">
        <w:t xml:space="preserve"> data center.</w:t>
      </w:r>
      <w:r w:rsidR="000A69FA" w:rsidRPr="00856AC2">
        <w:t xml:space="preserve"> This will </w:t>
      </w:r>
      <w:r w:rsidR="006175E0" w:rsidRPr="00856AC2">
        <w:t>knock down our total outage time from our high of 28 hours down to under two hours</w:t>
      </w:r>
      <w:r w:rsidR="00E734A1" w:rsidRPr="00856AC2">
        <w:t xml:space="preserve"> per year</w:t>
      </w:r>
      <w:r w:rsidR="006175E0" w:rsidRPr="00856AC2">
        <w:t>,</w:t>
      </w:r>
      <w:r w:rsidR="00E734A1" w:rsidRPr="00856AC2">
        <w:t xml:space="preserve"> working out to</w:t>
      </w:r>
      <w:r w:rsidR="006175E0" w:rsidRPr="00856AC2">
        <w:t xml:space="preserve"> a savings of </w:t>
      </w:r>
      <w:r w:rsidR="00A31DA6">
        <w:t>$24,192,317</w:t>
      </w:r>
      <w:r w:rsidR="00E734A1" w:rsidRPr="00856AC2">
        <w:t xml:space="preserve"> per year. This a roughly 94% reduction in downtime</w:t>
      </w:r>
      <w:r w:rsidR="009D6424" w:rsidRPr="00856AC2">
        <w:t xml:space="preserve"> (and costs).</w:t>
      </w:r>
      <w:r w:rsidR="003E23AD" w:rsidRPr="00856AC2">
        <w:t xml:space="preserve"> Our uptime would rise to 99.982% from </w:t>
      </w:r>
      <w:proofErr w:type="spellStart"/>
      <w:r w:rsidR="003E23AD" w:rsidRPr="00856AC2">
        <w:t>it’s</w:t>
      </w:r>
      <w:proofErr w:type="spellEnd"/>
      <w:r w:rsidR="003E23AD" w:rsidRPr="00856AC2">
        <w:t xml:space="preserve"> current availability of 99.671%</w:t>
      </w:r>
    </w:p>
    <w:p w14:paraId="1950E7C8" w14:textId="7A45CB79" w:rsidR="009D6424" w:rsidRPr="00856AC2" w:rsidRDefault="009D6424" w:rsidP="005949F6">
      <w:pPr>
        <w:spacing w:line="276" w:lineRule="auto"/>
      </w:pPr>
      <w:r w:rsidRPr="00856AC2">
        <w:tab/>
      </w:r>
      <w:r w:rsidR="00441091" w:rsidRPr="00856AC2">
        <w:t>There is a set of standard</w:t>
      </w:r>
      <w:r w:rsidR="006666C2" w:rsidRPr="00856AC2">
        <w:t>s</w:t>
      </w:r>
      <w:r w:rsidR="00441091" w:rsidRPr="00856AC2">
        <w:t xml:space="preserve"> accepted by the</w:t>
      </w:r>
      <w:r w:rsidR="006666C2" w:rsidRPr="00856AC2">
        <w:t xml:space="preserve"> </w:t>
      </w:r>
      <w:r w:rsidR="00881F1B" w:rsidRPr="00856AC2">
        <w:t>IT operations</w:t>
      </w:r>
      <w:r w:rsidR="00441091" w:rsidRPr="00856AC2">
        <w:t xml:space="preserve"> industry to rank data centers by uptime and redundancy. </w:t>
      </w:r>
      <w:r w:rsidR="00881F1B" w:rsidRPr="00856AC2">
        <w:t>Our current</w:t>
      </w:r>
      <w:r w:rsidR="00B137A7">
        <w:t xml:space="preserve"> Tier I</w:t>
      </w:r>
      <w:r w:rsidR="00881F1B" w:rsidRPr="00856AC2">
        <w:t xml:space="preserve"> data c</w:t>
      </w:r>
      <w:r w:rsidR="00B137A7">
        <w:t>enter</w:t>
      </w:r>
      <w:r w:rsidR="00881F1B" w:rsidRPr="00856AC2">
        <w:t xml:space="preserve"> doesn’t incorporate any redundancy, meaning it could be taken down by situations </w:t>
      </w:r>
      <w:r w:rsidR="00204770" w:rsidRPr="00856AC2">
        <w:t>like power or equipment failure</w:t>
      </w:r>
      <w:r w:rsidR="00352DE4" w:rsidRPr="00856AC2">
        <w:t xml:space="preserve"> or even </w:t>
      </w:r>
      <w:r w:rsidR="00204770" w:rsidRPr="00856AC2">
        <w:t xml:space="preserve">routine </w:t>
      </w:r>
      <w:r w:rsidR="00BB064A" w:rsidRPr="00856AC2">
        <w:t>maintenance</w:t>
      </w:r>
      <w:r w:rsidR="00204770" w:rsidRPr="00856AC2">
        <w:t xml:space="preserve">. </w:t>
      </w:r>
      <w:r w:rsidR="00352DE4" w:rsidRPr="00856AC2">
        <w:t xml:space="preserve">I propose building a $35 million Tier III data center. A Tier III data center has redundant components and connections: one active and one alternate distribution path. These extra components mean shutdowns will not be necessary in case of equipment failure or maintenance. </w:t>
      </w:r>
      <w:r w:rsidR="00CD35C9" w:rsidRPr="00856AC2">
        <w:t xml:space="preserve">This means necessary regular maintenance will not have to be rescheduled or shelved for the sake of uptime since a Tier III data center does not require downtime to be maintained. </w:t>
      </w:r>
      <w:r w:rsidR="004B3421" w:rsidRPr="00856AC2">
        <w:t xml:space="preserve">Each device will have uninterruptable power supply’s. </w:t>
      </w:r>
      <w:r w:rsidR="005A1777" w:rsidRPr="00856AC2">
        <w:t>There will be alternative, on-site power sources as well, such as multiple diesel generators with large storage tanks for an extended period of primary power loss.</w:t>
      </w:r>
      <w:r w:rsidR="004B3421" w:rsidRPr="00856AC2">
        <w:t xml:space="preserve"> There would be multiple alternate distribution paths for mission-critical systems.</w:t>
      </w:r>
    </w:p>
    <w:p w14:paraId="0D71CB01" w14:textId="2776290A" w:rsidR="001E2C06" w:rsidRPr="00856AC2" w:rsidRDefault="005E4853" w:rsidP="005949F6">
      <w:pPr>
        <w:spacing w:line="276" w:lineRule="auto"/>
      </w:pPr>
      <w:r>
        <w:tab/>
        <w:t xml:space="preserve">In three </w:t>
      </w:r>
      <w:r w:rsidR="001E2C06" w:rsidRPr="00856AC2">
        <w:t>years, our $35 million investment</w:t>
      </w:r>
      <w:r>
        <w:t xml:space="preserve"> in a Tier III data center will</w:t>
      </w:r>
      <w:r w:rsidR="001E2C06" w:rsidRPr="00856AC2">
        <w:t xml:space="preserve"> provide our firm with a</w:t>
      </w:r>
      <w:r w:rsidR="005A7C5C" w:rsidRPr="00856AC2">
        <w:t xml:space="preserve"> total</w:t>
      </w:r>
      <w:r w:rsidR="00A31DA6">
        <w:t xml:space="preserve"> savings of $48,384,634</w:t>
      </w:r>
      <w:r w:rsidR="001E2C06" w:rsidRPr="00856AC2">
        <w:t>.</w:t>
      </w:r>
      <w:r w:rsidR="00B818E1" w:rsidRPr="00856AC2">
        <w:t xml:space="preserve"> If we fail to act and continue to use our Tier I data center, </w:t>
      </w:r>
      <w:r w:rsidR="00354FAB">
        <w:t>it will continue to cost us ~$24</w:t>
      </w:r>
      <w:r w:rsidR="00E84809" w:rsidRPr="00856AC2">
        <w:t xml:space="preserve"> million per year compared to the </w:t>
      </w:r>
      <w:r w:rsidR="00A31DA6">
        <w:t>Tier III cost of a paltry $1,400,198</w:t>
      </w:r>
      <w:r w:rsidR="00E84809" w:rsidRPr="00856AC2">
        <w:t xml:space="preserve"> a year.</w:t>
      </w:r>
      <w:r w:rsidR="005A7C5C" w:rsidRPr="00856AC2">
        <w:t xml:space="preserve"> When considering the total savings and the cost of</w:t>
      </w:r>
      <w:r w:rsidR="006733E0">
        <w:t xml:space="preserve"> building, we would save $13,384,634</w:t>
      </w:r>
      <w:r w:rsidR="000835BA" w:rsidRPr="00856AC2">
        <w:t xml:space="preserve">. </w:t>
      </w:r>
      <w:r w:rsidR="00C47E77" w:rsidRPr="00856AC2">
        <w:t xml:space="preserve">This savings coupled with the increased reliability provides the </w:t>
      </w:r>
      <w:r w:rsidR="00F1613A">
        <w:t>cornerstone to the next steps of</w:t>
      </w:r>
      <w:r w:rsidR="00C47E77" w:rsidRPr="00856AC2">
        <w:t xml:space="preserve"> our growing business. </w:t>
      </w:r>
      <w:r w:rsidR="000835BA" w:rsidRPr="00856AC2">
        <w:t xml:space="preserve">Providing a data center with high uptime is essential to a robust, efficient organization. If our associates and customers have trouble accessing our services due to downtime, we will lose more than just money and productivity; our reputation will erode. </w:t>
      </w:r>
    </w:p>
    <w:p w14:paraId="1F5630B0" w14:textId="77777777" w:rsidR="007849E2" w:rsidRPr="00856AC2" w:rsidRDefault="007849E2" w:rsidP="005949F6">
      <w:pPr>
        <w:spacing w:line="276" w:lineRule="auto"/>
      </w:pPr>
    </w:p>
    <w:p w14:paraId="770A8E9A" w14:textId="77777777" w:rsidR="007849E2" w:rsidRPr="00856AC2" w:rsidRDefault="007849E2" w:rsidP="007849E2">
      <w:pPr>
        <w:shd w:val="clear" w:color="auto" w:fill="FFFFFF"/>
        <w:spacing w:after="100" w:afterAutospacing="1"/>
        <w:outlineLvl w:val="1"/>
        <w:rPr>
          <w:rFonts w:eastAsia="Times New Roman" w:cs="Times New Roman"/>
          <w:color w:val="000000"/>
        </w:rPr>
      </w:pPr>
    </w:p>
    <w:p w14:paraId="6B0DAF64" w14:textId="77777777" w:rsidR="007849E2" w:rsidRPr="00856AC2" w:rsidRDefault="007849E2" w:rsidP="007849E2">
      <w:pPr>
        <w:shd w:val="clear" w:color="auto" w:fill="FFFFFF"/>
        <w:spacing w:after="100" w:afterAutospacing="1"/>
        <w:outlineLvl w:val="1"/>
        <w:rPr>
          <w:rFonts w:eastAsia="Times New Roman" w:cs="Times New Roman"/>
          <w:color w:val="000000"/>
        </w:rPr>
      </w:pPr>
    </w:p>
    <w:p w14:paraId="070E7C81" w14:textId="77777777" w:rsidR="007849E2" w:rsidRPr="00856AC2" w:rsidRDefault="007849E2" w:rsidP="007849E2">
      <w:pPr>
        <w:shd w:val="clear" w:color="auto" w:fill="FFFFFF"/>
        <w:spacing w:after="100" w:afterAutospacing="1"/>
        <w:outlineLvl w:val="1"/>
        <w:rPr>
          <w:rFonts w:eastAsia="Times New Roman" w:cs="Times New Roman"/>
          <w:color w:val="000000"/>
        </w:rPr>
      </w:pPr>
    </w:p>
    <w:p w14:paraId="4492BE46" w14:textId="77777777" w:rsidR="00856AC2" w:rsidRPr="00856AC2" w:rsidRDefault="00856AC2" w:rsidP="00C74E09">
      <w:pPr>
        <w:pStyle w:val="Heading2"/>
        <w:shd w:val="clear" w:color="auto" w:fill="FFFFFF"/>
        <w:spacing w:before="0" w:beforeAutospacing="0"/>
        <w:jc w:val="center"/>
        <w:rPr>
          <w:rFonts w:asciiTheme="minorHAnsi" w:eastAsia="Times New Roman" w:hAnsiTheme="minorHAnsi"/>
          <w:b w:val="0"/>
          <w:bCs w:val="0"/>
          <w:color w:val="000000"/>
          <w:sz w:val="24"/>
          <w:szCs w:val="24"/>
        </w:rPr>
      </w:pPr>
      <w:r w:rsidRPr="00856AC2">
        <w:rPr>
          <w:rFonts w:asciiTheme="minorHAnsi" w:eastAsia="Times New Roman" w:hAnsiTheme="minorHAnsi"/>
          <w:b w:val="0"/>
          <w:bCs w:val="0"/>
          <w:color w:val="000000"/>
          <w:sz w:val="24"/>
          <w:szCs w:val="24"/>
        </w:rPr>
        <w:lastRenderedPageBreak/>
        <w:t>References</w:t>
      </w:r>
    </w:p>
    <w:p w14:paraId="4C9A5D1E" w14:textId="77777777" w:rsidR="00856AC2" w:rsidRPr="00856AC2" w:rsidRDefault="00856AC2" w:rsidP="00856AC2">
      <w:pPr>
        <w:pStyle w:val="NormalWeb"/>
        <w:shd w:val="clear" w:color="auto" w:fill="FFFFFF"/>
        <w:spacing w:before="0" w:beforeAutospacing="0" w:after="180" w:afterAutospacing="0"/>
        <w:ind w:left="450" w:hanging="450"/>
        <w:rPr>
          <w:rFonts w:asciiTheme="minorHAnsi" w:hAnsiTheme="minorHAnsi"/>
          <w:color w:val="000000"/>
        </w:rPr>
      </w:pPr>
      <w:r w:rsidRPr="00856AC2">
        <w:rPr>
          <w:rFonts w:asciiTheme="minorHAnsi" w:hAnsiTheme="minorHAnsi"/>
          <w:color w:val="000000"/>
        </w:rPr>
        <w:t xml:space="preserve">Gill, Bob, and Ross Winter. "Innovation Insight </w:t>
      </w:r>
      <w:proofErr w:type="gramStart"/>
      <w:r w:rsidRPr="00856AC2">
        <w:rPr>
          <w:rFonts w:asciiTheme="minorHAnsi" w:hAnsiTheme="minorHAnsi"/>
          <w:color w:val="000000"/>
        </w:rPr>
        <w:t>For</w:t>
      </w:r>
      <w:proofErr w:type="gramEnd"/>
      <w:r w:rsidRPr="00856AC2">
        <w:rPr>
          <w:rFonts w:asciiTheme="minorHAnsi" w:hAnsiTheme="minorHAnsi"/>
          <w:color w:val="000000"/>
        </w:rPr>
        <w:t xml:space="preserve"> Data Center Colocation."</w:t>
      </w:r>
      <w:r w:rsidRPr="00856AC2">
        <w:rPr>
          <w:rStyle w:val="apple-converted-space"/>
          <w:rFonts w:asciiTheme="minorHAnsi" w:hAnsiTheme="minorHAnsi"/>
          <w:color w:val="000000"/>
        </w:rPr>
        <w:t> </w:t>
      </w:r>
      <w:r w:rsidRPr="00856AC2">
        <w:rPr>
          <w:rFonts w:asciiTheme="minorHAnsi" w:hAnsiTheme="minorHAnsi"/>
          <w:i/>
          <w:iCs/>
          <w:color w:val="000000"/>
        </w:rPr>
        <w:t>Gartner</w:t>
      </w:r>
      <w:r w:rsidRPr="00856AC2">
        <w:rPr>
          <w:rFonts w:asciiTheme="minorHAnsi" w:hAnsiTheme="minorHAnsi"/>
          <w:color w:val="000000"/>
        </w:rPr>
        <w:t>, 2017, https://www.gartner.com/document/3698942?ref=solrAll&amp;refval=191072689&amp;qid=46c3a2d0a22e355dcd8753ce6da2ae84.</w:t>
      </w:r>
    </w:p>
    <w:p w14:paraId="58F331FF" w14:textId="77777777" w:rsidR="00856AC2" w:rsidRPr="00856AC2" w:rsidRDefault="00856AC2" w:rsidP="00856AC2">
      <w:pPr>
        <w:pStyle w:val="NormalWeb"/>
        <w:shd w:val="clear" w:color="auto" w:fill="FFFFFF"/>
        <w:spacing w:before="0" w:beforeAutospacing="0" w:after="180" w:afterAutospacing="0"/>
        <w:ind w:left="450" w:hanging="450"/>
        <w:rPr>
          <w:rFonts w:asciiTheme="minorHAnsi" w:hAnsiTheme="minorHAnsi"/>
          <w:color w:val="000000"/>
        </w:rPr>
      </w:pPr>
      <w:proofErr w:type="spellStart"/>
      <w:r w:rsidRPr="00856AC2">
        <w:rPr>
          <w:rFonts w:asciiTheme="minorHAnsi" w:hAnsiTheme="minorHAnsi"/>
          <w:color w:val="000000"/>
        </w:rPr>
        <w:t>Gite</w:t>
      </w:r>
      <w:proofErr w:type="spellEnd"/>
      <w:r w:rsidRPr="00856AC2">
        <w:rPr>
          <w:rFonts w:asciiTheme="minorHAnsi" w:hAnsiTheme="minorHAnsi"/>
          <w:color w:val="000000"/>
        </w:rPr>
        <w:t xml:space="preserve">, </w:t>
      </w:r>
      <w:proofErr w:type="spellStart"/>
      <w:r w:rsidRPr="00856AC2">
        <w:rPr>
          <w:rFonts w:asciiTheme="minorHAnsi" w:hAnsiTheme="minorHAnsi"/>
          <w:color w:val="000000"/>
        </w:rPr>
        <w:t>Vivek</w:t>
      </w:r>
      <w:proofErr w:type="spellEnd"/>
      <w:r w:rsidRPr="00856AC2">
        <w:rPr>
          <w:rFonts w:asciiTheme="minorHAnsi" w:hAnsiTheme="minorHAnsi"/>
          <w:color w:val="000000"/>
        </w:rPr>
        <w:t>. "Explain: Tier 1 / Tier 2 / Tier 3 / Tier 4 Data Center."</w:t>
      </w:r>
      <w:r w:rsidRPr="00856AC2">
        <w:rPr>
          <w:rStyle w:val="apple-converted-space"/>
          <w:rFonts w:asciiTheme="minorHAnsi" w:hAnsiTheme="minorHAnsi"/>
          <w:color w:val="000000"/>
        </w:rPr>
        <w:t> </w:t>
      </w:r>
      <w:proofErr w:type="spellStart"/>
      <w:r w:rsidRPr="00856AC2">
        <w:rPr>
          <w:rFonts w:asciiTheme="minorHAnsi" w:hAnsiTheme="minorHAnsi"/>
          <w:i/>
          <w:iCs/>
          <w:color w:val="000000"/>
        </w:rPr>
        <w:t>Nixcraft</w:t>
      </w:r>
      <w:proofErr w:type="spellEnd"/>
      <w:r w:rsidRPr="00856AC2">
        <w:rPr>
          <w:rFonts w:asciiTheme="minorHAnsi" w:hAnsiTheme="minorHAnsi"/>
          <w:color w:val="000000"/>
        </w:rPr>
        <w:t>, 2011, https://www.cyberciti.biz/faq/data-center-standard-overview/.</w:t>
      </w:r>
    </w:p>
    <w:p w14:paraId="04D1E546" w14:textId="77777777" w:rsidR="00856AC2" w:rsidRPr="00856AC2" w:rsidRDefault="00856AC2" w:rsidP="00856AC2">
      <w:pPr>
        <w:pStyle w:val="NormalWeb"/>
        <w:shd w:val="clear" w:color="auto" w:fill="FFFFFF"/>
        <w:spacing w:before="0" w:beforeAutospacing="0" w:after="180" w:afterAutospacing="0"/>
        <w:ind w:left="450" w:hanging="450"/>
        <w:rPr>
          <w:rFonts w:asciiTheme="minorHAnsi" w:hAnsiTheme="minorHAnsi"/>
          <w:color w:val="000000"/>
        </w:rPr>
      </w:pPr>
      <w:proofErr w:type="spellStart"/>
      <w:r w:rsidRPr="00856AC2">
        <w:rPr>
          <w:rFonts w:asciiTheme="minorHAnsi" w:hAnsiTheme="minorHAnsi"/>
          <w:color w:val="000000"/>
        </w:rPr>
        <w:t>Stansberry</w:t>
      </w:r>
      <w:proofErr w:type="spellEnd"/>
      <w:r w:rsidRPr="00856AC2">
        <w:rPr>
          <w:rFonts w:asciiTheme="minorHAnsi" w:hAnsiTheme="minorHAnsi"/>
          <w:color w:val="000000"/>
        </w:rPr>
        <w:t xml:space="preserve">, Matt. "Explaining </w:t>
      </w:r>
      <w:proofErr w:type="gramStart"/>
      <w:r w:rsidRPr="00856AC2">
        <w:rPr>
          <w:rFonts w:asciiTheme="minorHAnsi" w:hAnsiTheme="minorHAnsi"/>
          <w:color w:val="000000"/>
        </w:rPr>
        <w:t>The</w:t>
      </w:r>
      <w:proofErr w:type="gramEnd"/>
      <w:r w:rsidRPr="00856AC2">
        <w:rPr>
          <w:rFonts w:asciiTheme="minorHAnsi" w:hAnsiTheme="minorHAnsi"/>
          <w:color w:val="000000"/>
        </w:rPr>
        <w:t xml:space="preserve"> Uptime </w:t>
      </w:r>
      <w:proofErr w:type="spellStart"/>
      <w:r w:rsidRPr="00856AC2">
        <w:rPr>
          <w:rFonts w:asciiTheme="minorHAnsi" w:hAnsiTheme="minorHAnsi"/>
          <w:color w:val="000000"/>
        </w:rPr>
        <w:t>Institute’S</w:t>
      </w:r>
      <w:proofErr w:type="spellEnd"/>
      <w:r w:rsidRPr="00856AC2">
        <w:rPr>
          <w:rFonts w:asciiTheme="minorHAnsi" w:hAnsiTheme="minorHAnsi"/>
          <w:color w:val="000000"/>
        </w:rPr>
        <w:t xml:space="preserve"> Tier Classification System."</w:t>
      </w:r>
      <w:r w:rsidRPr="00856AC2">
        <w:rPr>
          <w:rStyle w:val="apple-converted-space"/>
          <w:rFonts w:asciiTheme="minorHAnsi" w:hAnsiTheme="minorHAnsi"/>
          <w:color w:val="000000"/>
        </w:rPr>
        <w:t> </w:t>
      </w:r>
      <w:r w:rsidRPr="00856AC2">
        <w:rPr>
          <w:rFonts w:asciiTheme="minorHAnsi" w:hAnsiTheme="minorHAnsi"/>
          <w:i/>
          <w:iCs/>
          <w:color w:val="000000"/>
        </w:rPr>
        <w:t xml:space="preserve">Uptime Institute </w:t>
      </w:r>
      <w:proofErr w:type="spellStart"/>
      <w:r w:rsidRPr="00856AC2">
        <w:rPr>
          <w:rFonts w:asciiTheme="minorHAnsi" w:hAnsiTheme="minorHAnsi"/>
          <w:i/>
          <w:iCs/>
          <w:color w:val="000000"/>
        </w:rPr>
        <w:t>Ejournal</w:t>
      </w:r>
      <w:proofErr w:type="spellEnd"/>
      <w:r w:rsidRPr="00856AC2">
        <w:rPr>
          <w:rFonts w:asciiTheme="minorHAnsi" w:hAnsiTheme="minorHAnsi"/>
          <w:color w:val="000000"/>
        </w:rPr>
        <w:t>, 2014, https://journal.uptimeinstitute.com/explaining-uptime-institutes-tier-classification-system/.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1532"/>
        <w:gridCol w:w="1532"/>
        <w:gridCol w:w="2910"/>
        <w:gridCol w:w="1500"/>
      </w:tblGrid>
      <w:tr w:rsidR="0083374F" w:rsidRPr="0083374F" w14:paraId="7B25E78E" w14:textId="77777777" w:rsidTr="0083374F">
        <w:trPr>
          <w:trHeight w:val="320"/>
        </w:trPr>
        <w:tc>
          <w:tcPr>
            <w:tcW w:w="6861" w:type="dxa"/>
            <w:gridSpan w:val="4"/>
            <w:noWrap/>
            <w:hideMark/>
          </w:tcPr>
          <w:p w14:paraId="4AC478D8" w14:textId="77777777" w:rsidR="0083374F" w:rsidRPr="0083374F" w:rsidRDefault="0083374F" w:rsidP="0083374F">
            <w:pPr>
              <w:spacing w:line="276" w:lineRule="auto"/>
            </w:pPr>
            <w:r w:rsidRPr="0083374F">
              <w:t>Estimated Savings Year-Over-Year</w:t>
            </w:r>
          </w:p>
        </w:tc>
        <w:tc>
          <w:tcPr>
            <w:tcW w:w="1500" w:type="dxa"/>
            <w:noWrap/>
            <w:hideMark/>
          </w:tcPr>
          <w:p w14:paraId="6E5CDA0C" w14:textId="77777777" w:rsidR="0083374F" w:rsidRPr="0083374F" w:rsidRDefault="0083374F" w:rsidP="0083374F">
            <w:pPr>
              <w:spacing w:line="276" w:lineRule="auto"/>
            </w:pPr>
          </w:p>
        </w:tc>
      </w:tr>
      <w:tr w:rsidR="0083374F" w:rsidRPr="0083374F" w14:paraId="02389C77" w14:textId="77777777" w:rsidTr="0083374F">
        <w:trPr>
          <w:trHeight w:val="320"/>
        </w:trPr>
        <w:tc>
          <w:tcPr>
            <w:tcW w:w="887" w:type="dxa"/>
            <w:noWrap/>
            <w:hideMark/>
          </w:tcPr>
          <w:p w14:paraId="783133AF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1532" w:type="dxa"/>
            <w:noWrap/>
            <w:hideMark/>
          </w:tcPr>
          <w:p w14:paraId="1298BF95" w14:textId="77777777" w:rsidR="0083374F" w:rsidRPr="0083374F" w:rsidRDefault="0083374F" w:rsidP="0083374F">
            <w:pPr>
              <w:spacing w:line="276" w:lineRule="auto"/>
            </w:pPr>
            <w:r w:rsidRPr="0083374F">
              <w:t>Year 1</w:t>
            </w:r>
          </w:p>
        </w:tc>
        <w:tc>
          <w:tcPr>
            <w:tcW w:w="1532" w:type="dxa"/>
            <w:noWrap/>
            <w:hideMark/>
          </w:tcPr>
          <w:p w14:paraId="08FA661D" w14:textId="77777777" w:rsidR="0083374F" w:rsidRPr="0083374F" w:rsidRDefault="0083374F" w:rsidP="0083374F">
            <w:pPr>
              <w:spacing w:line="276" w:lineRule="auto"/>
            </w:pPr>
            <w:r w:rsidRPr="0083374F">
              <w:t>Year 2</w:t>
            </w:r>
          </w:p>
        </w:tc>
        <w:tc>
          <w:tcPr>
            <w:tcW w:w="2910" w:type="dxa"/>
            <w:noWrap/>
            <w:hideMark/>
          </w:tcPr>
          <w:p w14:paraId="092C15BE" w14:textId="77777777" w:rsidR="0083374F" w:rsidRPr="0083374F" w:rsidRDefault="0083374F" w:rsidP="0083374F">
            <w:pPr>
              <w:spacing w:line="276" w:lineRule="auto"/>
            </w:pPr>
            <w:r w:rsidRPr="0083374F">
              <w:t>Year 3</w:t>
            </w:r>
          </w:p>
        </w:tc>
        <w:tc>
          <w:tcPr>
            <w:tcW w:w="1500" w:type="dxa"/>
            <w:noWrap/>
            <w:hideMark/>
          </w:tcPr>
          <w:p w14:paraId="7B4ADE21" w14:textId="77777777" w:rsidR="0083374F" w:rsidRPr="0083374F" w:rsidRDefault="0083374F" w:rsidP="0083374F">
            <w:pPr>
              <w:spacing w:line="276" w:lineRule="auto"/>
            </w:pPr>
          </w:p>
        </w:tc>
      </w:tr>
      <w:tr w:rsidR="0083374F" w:rsidRPr="0083374F" w14:paraId="5899AC15" w14:textId="77777777" w:rsidTr="0083374F">
        <w:trPr>
          <w:trHeight w:val="320"/>
        </w:trPr>
        <w:tc>
          <w:tcPr>
            <w:tcW w:w="887" w:type="dxa"/>
            <w:noWrap/>
            <w:hideMark/>
          </w:tcPr>
          <w:p w14:paraId="50D73A1A" w14:textId="77777777" w:rsidR="0083374F" w:rsidRPr="0083374F" w:rsidRDefault="0083374F" w:rsidP="0083374F">
            <w:pPr>
              <w:spacing w:line="276" w:lineRule="auto"/>
            </w:pPr>
            <w:r w:rsidRPr="0083374F">
              <w:t>Cost</w:t>
            </w:r>
          </w:p>
        </w:tc>
        <w:tc>
          <w:tcPr>
            <w:tcW w:w="1532" w:type="dxa"/>
            <w:noWrap/>
            <w:hideMark/>
          </w:tcPr>
          <w:p w14:paraId="6BDCCC1D" w14:textId="77777777" w:rsidR="0083374F" w:rsidRPr="0083374F" w:rsidRDefault="0083374F" w:rsidP="0083374F">
            <w:pPr>
              <w:spacing w:line="276" w:lineRule="auto"/>
            </w:pPr>
            <w:r w:rsidRPr="0083374F">
              <w:t xml:space="preserve"> $35,000,000 </w:t>
            </w:r>
          </w:p>
        </w:tc>
        <w:tc>
          <w:tcPr>
            <w:tcW w:w="1532" w:type="dxa"/>
            <w:noWrap/>
            <w:hideMark/>
          </w:tcPr>
          <w:p w14:paraId="108F6F1F" w14:textId="77777777" w:rsidR="0083374F" w:rsidRPr="0083374F" w:rsidRDefault="0083374F" w:rsidP="0083374F">
            <w:pPr>
              <w:spacing w:line="276" w:lineRule="auto"/>
            </w:pPr>
            <w:r w:rsidRPr="0083374F">
              <w:t xml:space="preserve"> $-   </w:t>
            </w:r>
          </w:p>
        </w:tc>
        <w:tc>
          <w:tcPr>
            <w:tcW w:w="2910" w:type="dxa"/>
            <w:noWrap/>
            <w:hideMark/>
          </w:tcPr>
          <w:p w14:paraId="69A6B207" w14:textId="77777777" w:rsidR="0083374F" w:rsidRPr="0083374F" w:rsidRDefault="0083374F" w:rsidP="0083374F">
            <w:pPr>
              <w:spacing w:line="276" w:lineRule="auto"/>
            </w:pPr>
            <w:r w:rsidRPr="0083374F">
              <w:t xml:space="preserve"> $-   </w:t>
            </w:r>
          </w:p>
        </w:tc>
        <w:tc>
          <w:tcPr>
            <w:tcW w:w="1500" w:type="dxa"/>
            <w:noWrap/>
            <w:hideMark/>
          </w:tcPr>
          <w:p w14:paraId="3B08B878" w14:textId="77777777" w:rsidR="0083374F" w:rsidRPr="0083374F" w:rsidRDefault="0083374F" w:rsidP="0083374F">
            <w:pPr>
              <w:spacing w:line="276" w:lineRule="auto"/>
            </w:pPr>
          </w:p>
        </w:tc>
      </w:tr>
      <w:tr w:rsidR="0083374F" w:rsidRPr="0083374F" w14:paraId="16F4A54F" w14:textId="77777777" w:rsidTr="0083374F">
        <w:trPr>
          <w:trHeight w:val="320"/>
        </w:trPr>
        <w:tc>
          <w:tcPr>
            <w:tcW w:w="887" w:type="dxa"/>
            <w:noWrap/>
            <w:hideMark/>
          </w:tcPr>
          <w:p w14:paraId="1A6B8F54" w14:textId="77777777" w:rsidR="0083374F" w:rsidRPr="0083374F" w:rsidRDefault="0083374F" w:rsidP="0083374F">
            <w:pPr>
              <w:spacing w:line="276" w:lineRule="auto"/>
            </w:pPr>
            <w:r w:rsidRPr="0083374F">
              <w:t>Savings</w:t>
            </w:r>
          </w:p>
        </w:tc>
        <w:tc>
          <w:tcPr>
            <w:tcW w:w="1532" w:type="dxa"/>
            <w:noWrap/>
            <w:hideMark/>
          </w:tcPr>
          <w:p w14:paraId="2B6639FF" w14:textId="77777777" w:rsidR="0083374F" w:rsidRPr="0083374F" w:rsidRDefault="0083374F" w:rsidP="0083374F">
            <w:pPr>
              <w:spacing w:line="276" w:lineRule="auto"/>
            </w:pPr>
            <w:r w:rsidRPr="0083374F">
              <w:t xml:space="preserve"> $-   </w:t>
            </w:r>
          </w:p>
        </w:tc>
        <w:tc>
          <w:tcPr>
            <w:tcW w:w="1532" w:type="dxa"/>
            <w:noWrap/>
            <w:hideMark/>
          </w:tcPr>
          <w:p w14:paraId="0BCBB31F" w14:textId="77777777" w:rsidR="0083374F" w:rsidRPr="0083374F" w:rsidRDefault="0083374F" w:rsidP="0083374F">
            <w:pPr>
              <w:spacing w:line="276" w:lineRule="auto"/>
            </w:pPr>
            <w:r w:rsidRPr="0083374F">
              <w:t xml:space="preserve"> $24,192,317 </w:t>
            </w:r>
          </w:p>
        </w:tc>
        <w:tc>
          <w:tcPr>
            <w:tcW w:w="2910" w:type="dxa"/>
            <w:noWrap/>
            <w:hideMark/>
          </w:tcPr>
          <w:p w14:paraId="20A36AAE" w14:textId="77777777" w:rsidR="0083374F" w:rsidRPr="0083374F" w:rsidRDefault="0083374F" w:rsidP="0083374F">
            <w:pPr>
              <w:spacing w:line="276" w:lineRule="auto"/>
            </w:pPr>
            <w:r w:rsidRPr="0083374F">
              <w:t xml:space="preserve"> $24,192,317 </w:t>
            </w:r>
          </w:p>
        </w:tc>
        <w:tc>
          <w:tcPr>
            <w:tcW w:w="1500" w:type="dxa"/>
            <w:noWrap/>
            <w:hideMark/>
          </w:tcPr>
          <w:p w14:paraId="38405474" w14:textId="77777777" w:rsidR="0083374F" w:rsidRPr="0083374F" w:rsidRDefault="0083374F" w:rsidP="0083374F">
            <w:pPr>
              <w:spacing w:line="276" w:lineRule="auto"/>
            </w:pPr>
          </w:p>
        </w:tc>
      </w:tr>
      <w:tr w:rsidR="0083374F" w:rsidRPr="0083374F" w14:paraId="5E4180C5" w14:textId="77777777" w:rsidTr="0083374F">
        <w:trPr>
          <w:trHeight w:val="320"/>
        </w:trPr>
        <w:tc>
          <w:tcPr>
            <w:tcW w:w="887" w:type="dxa"/>
            <w:noWrap/>
            <w:hideMark/>
          </w:tcPr>
          <w:p w14:paraId="42767FE5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1532" w:type="dxa"/>
            <w:noWrap/>
            <w:hideMark/>
          </w:tcPr>
          <w:p w14:paraId="571556DF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1532" w:type="dxa"/>
            <w:noWrap/>
            <w:hideMark/>
          </w:tcPr>
          <w:p w14:paraId="68B28B51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2910" w:type="dxa"/>
            <w:noWrap/>
            <w:hideMark/>
          </w:tcPr>
          <w:p w14:paraId="24978841" w14:textId="77777777" w:rsidR="0083374F" w:rsidRPr="0083374F" w:rsidRDefault="0083374F" w:rsidP="0083374F">
            <w:pPr>
              <w:spacing w:line="276" w:lineRule="auto"/>
            </w:pPr>
            <w:r w:rsidRPr="0083374F">
              <w:t>Total Savings:</w:t>
            </w:r>
          </w:p>
        </w:tc>
        <w:tc>
          <w:tcPr>
            <w:tcW w:w="1500" w:type="dxa"/>
            <w:noWrap/>
            <w:hideMark/>
          </w:tcPr>
          <w:p w14:paraId="6452F9AE" w14:textId="77777777" w:rsidR="0083374F" w:rsidRPr="0083374F" w:rsidRDefault="0083374F" w:rsidP="0083374F">
            <w:pPr>
              <w:spacing w:line="276" w:lineRule="auto"/>
            </w:pPr>
            <w:r w:rsidRPr="0083374F">
              <w:t xml:space="preserve"> $48,384,634 </w:t>
            </w:r>
          </w:p>
        </w:tc>
      </w:tr>
      <w:tr w:rsidR="0083374F" w:rsidRPr="0083374F" w14:paraId="6BDFCAC9" w14:textId="77777777" w:rsidTr="0083374F">
        <w:trPr>
          <w:trHeight w:val="320"/>
        </w:trPr>
        <w:tc>
          <w:tcPr>
            <w:tcW w:w="887" w:type="dxa"/>
            <w:noWrap/>
            <w:hideMark/>
          </w:tcPr>
          <w:p w14:paraId="11F5E960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1532" w:type="dxa"/>
            <w:noWrap/>
            <w:hideMark/>
          </w:tcPr>
          <w:p w14:paraId="2206B941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1532" w:type="dxa"/>
            <w:noWrap/>
            <w:hideMark/>
          </w:tcPr>
          <w:p w14:paraId="76FDC0FC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2910" w:type="dxa"/>
            <w:noWrap/>
            <w:hideMark/>
          </w:tcPr>
          <w:p w14:paraId="7FE18399" w14:textId="77777777" w:rsidR="0083374F" w:rsidRPr="0083374F" w:rsidRDefault="0083374F" w:rsidP="0083374F">
            <w:pPr>
              <w:spacing w:line="276" w:lineRule="auto"/>
            </w:pPr>
            <w:r w:rsidRPr="0083374F">
              <w:t>Total Savings minus cost:</w:t>
            </w:r>
          </w:p>
        </w:tc>
        <w:tc>
          <w:tcPr>
            <w:tcW w:w="1500" w:type="dxa"/>
            <w:noWrap/>
            <w:hideMark/>
          </w:tcPr>
          <w:p w14:paraId="09826EC2" w14:textId="77777777" w:rsidR="0083374F" w:rsidRPr="0083374F" w:rsidRDefault="0083374F" w:rsidP="0083374F">
            <w:pPr>
              <w:spacing w:line="276" w:lineRule="auto"/>
            </w:pPr>
            <w:r w:rsidRPr="0083374F">
              <w:t xml:space="preserve"> $13,384,634 </w:t>
            </w:r>
          </w:p>
        </w:tc>
      </w:tr>
    </w:tbl>
    <w:p w14:paraId="5E535FC7" w14:textId="77777777" w:rsidR="007849E2" w:rsidRDefault="007849E2" w:rsidP="005949F6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1484"/>
        <w:gridCol w:w="3039"/>
        <w:gridCol w:w="1713"/>
        <w:gridCol w:w="2143"/>
      </w:tblGrid>
      <w:tr w:rsidR="0083374F" w:rsidRPr="0083374F" w14:paraId="0A14927F" w14:textId="77777777" w:rsidTr="0083374F">
        <w:trPr>
          <w:trHeight w:val="320"/>
        </w:trPr>
        <w:tc>
          <w:tcPr>
            <w:tcW w:w="2600" w:type="dxa"/>
            <w:gridSpan w:val="2"/>
            <w:noWrap/>
            <w:hideMark/>
          </w:tcPr>
          <w:p w14:paraId="1464FF9D" w14:textId="77777777" w:rsidR="0083374F" w:rsidRPr="0083374F" w:rsidRDefault="0083374F" w:rsidP="0083374F">
            <w:pPr>
              <w:spacing w:line="276" w:lineRule="auto"/>
            </w:pPr>
            <w:r w:rsidRPr="0083374F">
              <w:t>Tier Comparison</w:t>
            </w:r>
          </w:p>
        </w:tc>
        <w:tc>
          <w:tcPr>
            <w:tcW w:w="3240" w:type="dxa"/>
            <w:noWrap/>
            <w:hideMark/>
          </w:tcPr>
          <w:p w14:paraId="01AEF6C4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1820" w:type="dxa"/>
            <w:noWrap/>
            <w:hideMark/>
          </w:tcPr>
          <w:p w14:paraId="303D70AE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2280" w:type="dxa"/>
            <w:noWrap/>
            <w:hideMark/>
          </w:tcPr>
          <w:p w14:paraId="401894E3" w14:textId="77777777" w:rsidR="0083374F" w:rsidRPr="0083374F" w:rsidRDefault="0083374F" w:rsidP="0083374F">
            <w:pPr>
              <w:spacing w:line="276" w:lineRule="auto"/>
            </w:pPr>
          </w:p>
        </w:tc>
      </w:tr>
      <w:tr w:rsidR="0083374F" w:rsidRPr="0083374F" w14:paraId="7421E158" w14:textId="77777777" w:rsidTr="0083374F">
        <w:trPr>
          <w:trHeight w:val="320"/>
        </w:trPr>
        <w:tc>
          <w:tcPr>
            <w:tcW w:w="1026" w:type="dxa"/>
            <w:noWrap/>
            <w:hideMark/>
          </w:tcPr>
          <w:p w14:paraId="5244D74B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1574" w:type="dxa"/>
            <w:noWrap/>
            <w:hideMark/>
          </w:tcPr>
          <w:p w14:paraId="36044B30" w14:textId="77777777" w:rsidR="0083374F" w:rsidRPr="0083374F" w:rsidRDefault="0083374F" w:rsidP="0083374F">
            <w:pPr>
              <w:spacing w:line="276" w:lineRule="auto"/>
            </w:pPr>
            <w:r w:rsidRPr="0083374F">
              <w:t>Uptime %</w:t>
            </w:r>
          </w:p>
        </w:tc>
        <w:tc>
          <w:tcPr>
            <w:tcW w:w="3240" w:type="dxa"/>
            <w:noWrap/>
            <w:hideMark/>
          </w:tcPr>
          <w:p w14:paraId="5DC53C57" w14:textId="77777777" w:rsidR="0083374F" w:rsidRPr="0083374F" w:rsidRDefault="0083374F" w:rsidP="0083374F">
            <w:pPr>
              <w:spacing w:line="276" w:lineRule="auto"/>
            </w:pPr>
            <w:r w:rsidRPr="0083374F">
              <w:t>Downtime (in minutes per year)</w:t>
            </w:r>
          </w:p>
        </w:tc>
        <w:tc>
          <w:tcPr>
            <w:tcW w:w="1820" w:type="dxa"/>
            <w:noWrap/>
            <w:hideMark/>
          </w:tcPr>
          <w:p w14:paraId="72A8AF84" w14:textId="77777777" w:rsidR="0083374F" w:rsidRPr="0083374F" w:rsidRDefault="0083374F" w:rsidP="0083374F">
            <w:pPr>
              <w:spacing w:line="276" w:lineRule="auto"/>
            </w:pPr>
            <w:r w:rsidRPr="0083374F">
              <w:t>Minutes in a year</w:t>
            </w:r>
          </w:p>
        </w:tc>
        <w:tc>
          <w:tcPr>
            <w:tcW w:w="2280" w:type="dxa"/>
            <w:noWrap/>
            <w:hideMark/>
          </w:tcPr>
          <w:p w14:paraId="4C6259F5" w14:textId="77777777" w:rsidR="0083374F" w:rsidRPr="0083374F" w:rsidRDefault="0083374F" w:rsidP="0083374F">
            <w:pPr>
              <w:spacing w:line="276" w:lineRule="auto"/>
            </w:pPr>
            <w:r w:rsidRPr="0083374F">
              <w:t>Cost ($14800/minute)</w:t>
            </w:r>
          </w:p>
        </w:tc>
      </w:tr>
      <w:tr w:rsidR="0083374F" w:rsidRPr="0083374F" w14:paraId="4B7E9FCF" w14:textId="77777777" w:rsidTr="0083374F">
        <w:trPr>
          <w:trHeight w:val="320"/>
        </w:trPr>
        <w:tc>
          <w:tcPr>
            <w:tcW w:w="1026" w:type="dxa"/>
            <w:noWrap/>
            <w:hideMark/>
          </w:tcPr>
          <w:p w14:paraId="52CEE8E6" w14:textId="77777777" w:rsidR="0083374F" w:rsidRPr="0083374F" w:rsidRDefault="0083374F" w:rsidP="0083374F">
            <w:pPr>
              <w:spacing w:line="276" w:lineRule="auto"/>
            </w:pPr>
            <w:r w:rsidRPr="0083374F">
              <w:t>Tier I</w:t>
            </w:r>
          </w:p>
        </w:tc>
        <w:tc>
          <w:tcPr>
            <w:tcW w:w="1574" w:type="dxa"/>
            <w:noWrap/>
            <w:hideMark/>
          </w:tcPr>
          <w:p w14:paraId="66C9AA2D" w14:textId="77777777" w:rsidR="0083374F" w:rsidRPr="0083374F" w:rsidRDefault="0083374F" w:rsidP="0083374F">
            <w:pPr>
              <w:spacing w:line="276" w:lineRule="auto"/>
            </w:pPr>
            <w:r w:rsidRPr="0083374F">
              <w:t>99.671%</w:t>
            </w:r>
          </w:p>
        </w:tc>
        <w:tc>
          <w:tcPr>
            <w:tcW w:w="3240" w:type="dxa"/>
            <w:noWrap/>
            <w:hideMark/>
          </w:tcPr>
          <w:p w14:paraId="61926C64" w14:textId="77777777" w:rsidR="0083374F" w:rsidRPr="0083374F" w:rsidRDefault="0083374F" w:rsidP="0083374F">
            <w:pPr>
              <w:spacing w:line="276" w:lineRule="auto"/>
            </w:pPr>
            <w:r w:rsidRPr="0083374F">
              <w:t>1729.224</w:t>
            </w:r>
          </w:p>
        </w:tc>
        <w:tc>
          <w:tcPr>
            <w:tcW w:w="1820" w:type="dxa"/>
            <w:noWrap/>
            <w:hideMark/>
          </w:tcPr>
          <w:p w14:paraId="495535AF" w14:textId="77777777" w:rsidR="0083374F" w:rsidRPr="0083374F" w:rsidRDefault="0083374F" w:rsidP="0083374F">
            <w:pPr>
              <w:spacing w:line="276" w:lineRule="auto"/>
            </w:pPr>
            <w:r w:rsidRPr="0083374F">
              <w:t>525600</w:t>
            </w:r>
          </w:p>
        </w:tc>
        <w:tc>
          <w:tcPr>
            <w:tcW w:w="2280" w:type="dxa"/>
            <w:noWrap/>
            <w:hideMark/>
          </w:tcPr>
          <w:p w14:paraId="64F94FFE" w14:textId="77777777" w:rsidR="0083374F" w:rsidRPr="0083374F" w:rsidRDefault="0083374F" w:rsidP="0083374F">
            <w:pPr>
              <w:spacing w:line="276" w:lineRule="auto"/>
            </w:pPr>
            <w:r w:rsidRPr="0083374F">
              <w:t xml:space="preserve"> $25,592,515.20 </w:t>
            </w:r>
          </w:p>
        </w:tc>
      </w:tr>
      <w:tr w:rsidR="0083374F" w:rsidRPr="0083374F" w14:paraId="75D3F5A3" w14:textId="77777777" w:rsidTr="0083374F">
        <w:trPr>
          <w:trHeight w:val="320"/>
        </w:trPr>
        <w:tc>
          <w:tcPr>
            <w:tcW w:w="1026" w:type="dxa"/>
            <w:noWrap/>
            <w:hideMark/>
          </w:tcPr>
          <w:p w14:paraId="53C5AE8D" w14:textId="77777777" w:rsidR="0083374F" w:rsidRPr="0083374F" w:rsidRDefault="0083374F" w:rsidP="0083374F">
            <w:pPr>
              <w:spacing w:line="276" w:lineRule="auto"/>
            </w:pPr>
            <w:r w:rsidRPr="0083374F">
              <w:t>Tier III</w:t>
            </w:r>
          </w:p>
        </w:tc>
        <w:tc>
          <w:tcPr>
            <w:tcW w:w="1574" w:type="dxa"/>
            <w:noWrap/>
            <w:hideMark/>
          </w:tcPr>
          <w:p w14:paraId="61C635B5" w14:textId="77777777" w:rsidR="0083374F" w:rsidRPr="0083374F" w:rsidRDefault="0083374F" w:rsidP="0083374F">
            <w:pPr>
              <w:spacing w:line="276" w:lineRule="auto"/>
            </w:pPr>
            <w:r w:rsidRPr="0083374F">
              <w:t>99.982%</w:t>
            </w:r>
          </w:p>
        </w:tc>
        <w:tc>
          <w:tcPr>
            <w:tcW w:w="3240" w:type="dxa"/>
            <w:noWrap/>
            <w:hideMark/>
          </w:tcPr>
          <w:p w14:paraId="0C073C78" w14:textId="77777777" w:rsidR="0083374F" w:rsidRPr="0083374F" w:rsidRDefault="0083374F" w:rsidP="0083374F">
            <w:pPr>
              <w:spacing w:line="276" w:lineRule="auto"/>
            </w:pPr>
            <w:r w:rsidRPr="0083374F">
              <w:t>94.608</w:t>
            </w:r>
          </w:p>
        </w:tc>
        <w:tc>
          <w:tcPr>
            <w:tcW w:w="1820" w:type="dxa"/>
            <w:noWrap/>
            <w:hideMark/>
          </w:tcPr>
          <w:p w14:paraId="0CA787A9" w14:textId="77777777" w:rsidR="0083374F" w:rsidRPr="0083374F" w:rsidRDefault="0083374F" w:rsidP="0083374F">
            <w:pPr>
              <w:spacing w:line="276" w:lineRule="auto"/>
            </w:pPr>
            <w:r w:rsidRPr="0083374F">
              <w:t>525600</w:t>
            </w:r>
          </w:p>
        </w:tc>
        <w:tc>
          <w:tcPr>
            <w:tcW w:w="2280" w:type="dxa"/>
            <w:noWrap/>
            <w:hideMark/>
          </w:tcPr>
          <w:p w14:paraId="120C1D7D" w14:textId="77777777" w:rsidR="0083374F" w:rsidRPr="0083374F" w:rsidRDefault="0083374F" w:rsidP="0083374F">
            <w:pPr>
              <w:spacing w:line="276" w:lineRule="auto"/>
            </w:pPr>
            <w:r w:rsidRPr="0083374F">
              <w:t xml:space="preserve"> $1,400,198.40 </w:t>
            </w:r>
          </w:p>
        </w:tc>
      </w:tr>
      <w:tr w:rsidR="0083374F" w:rsidRPr="0083374F" w14:paraId="276F28C8" w14:textId="77777777" w:rsidTr="0083374F">
        <w:trPr>
          <w:trHeight w:val="320"/>
        </w:trPr>
        <w:tc>
          <w:tcPr>
            <w:tcW w:w="1026" w:type="dxa"/>
            <w:noWrap/>
            <w:hideMark/>
          </w:tcPr>
          <w:p w14:paraId="5F835504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1574" w:type="dxa"/>
            <w:noWrap/>
            <w:hideMark/>
          </w:tcPr>
          <w:p w14:paraId="4C615C62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3240" w:type="dxa"/>
            <w:noWrap/>
            <w:hideMark/>
          </w:tcPr>
          <w:p w14:paraId="4E2204F3" w14:textId="77777777" w:rsidR="0083374F" w:rsidRPr="0083374F" w:rsidRDefault="0083374F" w:rsidP="0083374F">
            <w:pPr>
              <w:spacing w:line="276" w:lineRule="auto"/>
            </w:pPr>
          </w:p>
        </w:tc>
        <w:tc>
          <w:tcPr>
            <w:tcW w:w="1820" w:type="dxa"/>
            <w:noWrap/>
            <w:hideMark/>
          </w:tcPr>
          <w:p w14:paraId="0A24C6F5" w14:textId="77777777" w:rsidR="0083374F" w:rsidRPr="0083374F" w:rsidRDefault="0083374F" w:rsidP="0083374F">
            <w:pPr>
              <w:spacing w:line="276" w:lineRule="auto"/>
            </w:pPr>
            <w:r w:rsidRPr="0083374F">
              <w:t>Savings per year:</w:t>
            </w:r>
          </w:p>
        </w:tc>
        <w:tc>
          <w:tcPr>
            <w:tcW w:w="2280" w:type="dxa"/>
            <w:noWrap/>
            <w:hideMark/>
          </w:tcPr>
          <w:p w14:paraId="3FF14EF7" w14:textId="77777777" w:rsidR="0083374F" w:rsidRPr="0083374F" w:rsidRDefault="0083374F" w:rsidP="0083374F">
            <w:pPr>
              <w:spacing w:line="276" w:lineRule="auto"/>
            </w:pPr>
            <w:r w:rsidRPr="0083374F">
              <w:t xml:space="preserve"> $24,192,316.80 </w:t>
            </w:r>
          </w:p>
        </w:tc>
      </w:tr>
    </w:tbl>
    <w:p w14:paraId="5E410A3C" w14:textId="77777777" w:rsidR="0083374F" w:rsidRPr="00856AC2" w:rsidRDefault="0083374F" w:rsidP="005949F6">
      <w:pPr>
        <w:spacing w:line="276" w:lineRule="auto"/>
      </w:pPr>
    </w:p>
    <w:sectPr w:rsidR="0083374F" w:rsidRPr="00856AC2" w:rsidSect="001C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B3"/>
    <w:rsid w:val="000835BA"/>
    <w:rsid w:val="000A69FA"/>
    <w:rsid w:val="001C7A44"/>
    <w:rsid w:val="001E2C06"/>
    <w:rsid w:val="00204770"/>
    <w:rsid w:val="002E3AB3"/>
    <w:rsid w:val="00352DE4"/>
    <w:rsid w:val="003533C7"/>
    <w:rsid w:val="00354FAB"/>
    <w:rsid w:val="003C5D48"/>
    <w:rsid w:val="003E23AD"/>
    <w:rsid w:val="00441091"/>
    <w:rsid w:val="004B3421"/>
    <w:rsid w:val="0053651E"/>
    <w:rsid w:val="005949F6"/>
    <w:rsid w:val="0059622A"/>
    <w:rsid w:val="005A1777"/>
    <w:rsid w:val="005A7C5C"/>
    <w:rsid w:val="005E4853"/>
    <w:rsid w:val="006175E0"/>
    <w:rsid w:val="006666C2"/>
    <w:rsid w:val="006733E0"/>
    <w:rsid w:val="0071079C"/>
    <w:rsid w:val="007771C0"/>
    <w:rsid w:val="007849E2"/>
    <w:rsid w:val="0083374F"/>
    <w:rsid w:val="00856AC2"/>
    <w:rsid w:val="00881F1B"/>
    <w:rsid w:val="008902D6"/>
    <w:rsid w:val="009D6424"/>
    <w:rsid w:val="00A31DA6"/>
    <w:rsid w:val="00B137A7"/>
    <w:rsid w:val="00B818E1"/>
    <w:rsid w:val="00B97CF0"/>
    <w:rsid w:val="00BB064A"/>
    <w:rsid w:val="00C47E77"/>
    <w:rsid w:val="00C74E09"/>
    <w:rsid w:val="00CA0C9B"/>
    <w:rsid w:val="00CD35C9"/>
    <w:rsid w:val="00E363CC"/>
    <w:rsid w:val="00E734A1"/>
    <w:rsid w:val="00E84809"/>
    <w:rsid w:val="00F06AB5"/>
    <w:rsid w:val="00F1613A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449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49E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49E2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849E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849E2"/>
  </w:style>
  <w:style w:type="table" w:styleId="TableGrid">
    <w:name w:val="Table Grid"/>
    <w:basedOn w:val="TableNormal"/>
    <w:uiPriority w:val="39"/>
    <w:rsid w:val="00833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References</vt:lpstr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Wadsworth</dc:creator>
  <cp:keywords/>
  <dc:description/>
  <cp:lastModifiedBy>Henry Wadsworth</cp:lastModifiedBy>
  <cp:revision>2</cp:revision>
  <dcterms:created xsi:type="dcterms:W3CDTF">2017-11-27T23:27:00Z</dcterms:created>
  <dcterms:modified xsi:type="dcterms:W3CDTF">2017-11-27T23:27:00Z</dcterms:modified>
</cp:coreProperties>
</file>