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22" w:rsidRDefault="00821B22" w:rsidP="008C021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Flash Research Assignment #1: Data Centers and Networking</w:t>
      </w:r>
    </w:p>
    <w:p w:rsidR="00821B22" w:rsidRDefault="005218D6" w:rsidP="00291B64">
      <w:pPr>
        <w:spacing w:line="360" w:lineRule="auto"/>
        <w:ind w:firstLine="720"/>
        <w:rPr>
          <w:rFonts w:ascii="Times New Roman" w:hAnsi="Times New Roman" w:cs="Times New Roman"/>
          <w:sz w:val="24"/>
          <w:szCs w:val="24"/>
        </w:rPr>
      </w:pPr>
      <w:r>
        <w:rPr>
          <w:rFonts w:ascii="Times New Roman" w:hAnsi="Times New Roman" w:cs="Times New Roman"/>
          <w:sz w:val="24"/>
          <w:szCs w:val="24"/>
        </w:rPr>
        <w:t>I propose that we invest in</w:t>
      </w:r>
      <w:r w:rsidR="00D34CF0">
        <w:rPr>
          <w:rFonts w:ascii="Times New Roman" w:hAnsi="Times New Roman" w:cs="Times New Roman"/>
          <w:sz w:val="24"/>
          <w:szCs w:val="24"/>
        </w:rPr>
        <w:t xml:space="preserve"> a Tier III data center, which will save us $13,299,056 over the next three years. In</w:t>
      </w:r>
      <w:r w:rsidR="006E0F27">
        <w:rPr>
          <w:rFonts w:ascii="Times New Roman" w:hAnsi="Times New Roman" w:cs="Times New Roman"/>
          <w:sz w:val="24"/>
          <w:szCs w:val="24"/>
        </w:rPr>
        <w:t xml:space="preserve"> th</w:t>
      </w:r>
      <w:r w:rsidR="00B14BA4">
        <w:rPr>
          <w:rFonts w:ascii="Times New Roman" w:hAnsi="Times New Roman" w:cs="Times New Roman"/>
          <w:sz w:val="24"/>
          <w:szCs w:val="24"/>
        </w:rPr>
        <w:t>e past year, we have experienced 10 unscheduled outages to our</w:t>
      </w:r>
      <w:r w:rsidR="008D3ADF">
        <w:rPr>
          <w:rFonts w:ascii="Times New Roman" w:hAnsi="Times New Roman" w:cs="Times New Roman"/>
          <w:sz w:val="24"/>
          <w:szCs w:val="24"/>
        </w:rPr>
        <w:t xml:space="preserve"> ERP system,</w:t>
      </w:r>
      <w:r w:rsidR="00160E6B">
        <w:rPr>
          <w:rFonts w:ascii="Times New Roman" w:hAnsi="Times New Roman" w:cs="Times New Roman"/>
          <w:sz w:val="24"/>
          <w:szCs w:val="24"/>
        </w:rPr>
        <w:t xml:space="preserve"> costing us $14,800 per minute of downtime.</w:t>
      </w:r>
      <w:r w:rsidR="008D3ADF">
        <w:rPr>
          <w:rFonts w:ascii="Times New Roman" w:hAnsi="Times New Roman" w:cs="Times New Roman"/>
          <w:sz w:val="24"/>
          <w:szCs w:val="24"/>
        </w:rPr>
        <w:t xml:space="preserve"> </w:t>
      </w:r>
      <w:r w:rsidR="00160E6B">
        <w:rPr>
          <w:rFonts w:ascii="Times New Roman" w:hAnsi="Times New Roman" w:cs="Times New Roman"/>
          <w:sz w:val="24"/>
          <w:szCs w:val="24"/>
        </w:rPr>
        <w:t>A</w:t>
      </w:r>
      <w:r w:rsidR="008D3ADF">
        <w:rPr>
          <w:rFonts w:ascii="Times New Roman" w:hAnsi="Times New Roman" w:cs="Times New Roman"/>
          <w:sz w:val="24"/>
          <w:szCs w:val="24"/>
        </w:rPr>
        <w:t xml:space="preserve"> majority</w:t>
      </w:r>
      <w:r w:rsidR="00160E6B">
        <w:rPr>
          <w:rFonts w:ascii="Times New Roman" w:hAnsi="Times New Roman" w:cs="Times New Roman"/>
          <w:sz w:val="24"/>
          <w:szCs w:val="24"/>
        </w:rPr>
        <w:t xml:space="preserve"> of these outages are</w:t>
      </w:r>
      <w:r w:rsidR="008D3ADF">
        <w:rPr>
          <w:rFonts w:ascii="Times New Roman" w:hAnsi="Times New Roman" w:cs="Times New Roman"/>
          <w:sz w:val="24"/>
          <w:szCs w:val="24"/>
        </w:rPr>
        <w:t xml:space="preserve"> the result of inadequate facilities in our </w:t>
      </w:r>
      <w:r w:rsidR="00160E6B">
        <w:rPr>
          <w:rFonts w:ascii="Times New Roman" w:hAnsi="Times New Roman" w:cs="Times New Roman"/>
          <w:sz w:val="24"/>
          <w:szCs w:val="24"/>
        </w:rPr>
        <w:t xml:space="preserve">Tier I </w:t>
      </w:r>
      <w:r w:rsidR="008D3ADF">
        <w:rPr>
          <w:rFonts w:ascii="Times New Roman" w:hAnsi="Times New Roman" w:cs="Times New Roman"/>
          <w:sz w:val="24"/>
          <w:szCs w:val="24"/>
        </w:rPr>
        <w:t xml:space="preserve">data center. When this system is down, the </w:t>
      </w:r>
      <w:r w:rsidR="00170906">
        <w:rPr>
          <w:rFonts w:ascii="Times New Roman" w:hAnsi="Times New Roman" w:cs="Times New Roman"/>
          <w:sz w:val="24"/>
          <w:szCs w:val="24"/>
        </w:rPr>
        <w:t>company</w:t>
      </w:r>
      <w:r w:rsidR="008D3ADF">
        <w:rPr>
          <w:rFonts w:ascii="Times New Roman" w:hAnsi="Times New Roman" w:cs="Times New Roman"/>
          <w:sz w:val="24"/>
          <w:szCs w:val="24"/>
        </w:rPr>
        <w:t xml:space="preserve"> cannot process order</w:t>
      </w:r>
      <w:r w:rsidR="00160E6B">
        <w:rPr>
          <w:rFonts w:ascii="Times New Roman" w:hAnsi="Times New Roman" w:cs="Times New Roman"/>
          <w:sz w:val="24"/>
          <w:szCs w:val="24"/>
        </w:rPr>
        <w:t>s</w:t>
      </w:r>
      <w:r w:rsidR="00170906">
        <w:rPr>
          <w:rFonts w:ascii="Times New Roman" w:hAnsi="Times New Roman" w:cs="Times New Roman"/>
          <w:sz w:val="24"/>
          <w:szCs w:val="24"/>
        </w:rPr>
        <w:t>,</w:t>
      </w:r>
      <w:r w:rsidR="00160E6B">
        <w:rPr>
          <w:rFonts w:ascii="Times New Roman" w:hAnsi="Times New Roman" w:cs="Times New Roman"/>
          <w:sz w:val="24"/>
          <w:szCs w:val="24"/>
        </w:rPr>
        <w:t xml:space="preserve"> make product, </w:t>
      </w:r>
      <w:r w:rsidR="00170906">
        <w:rPr>
          <w:rFonts w:ascii="Times New Roman" w:hAnsi="Times New Roman" w:cs="Times New Roman"/>
          <w:sz w:val="24"/>
          <w:szCs w:val="24"/>
        </w:rPr>
        <w:t xml:space="preserve">or </w:t>
      </w:r>
      <w:r w:rsidR="00160E6B">
        <w:rPr>
          <w:rFonts w:ascii="Times New Roman" w:hAnsi="Times New Roman" w:cs="Times New Roman"/>
          <w:sz w:val="24"/>
          <w:szCs w:val="24"/>
        </w:rPr>
        <w:t>ship product.</w:t>
      </w:r>
      <w:r w:rsidR="008D3ADF">
        <w:rPr>
          <w:rFonts w:ascii="Times New Roman" w:hAnsi="Times New Roman" w:cs="Times New Roman"/>
          <w:sz w:val="24"/>
          <w:szCs w:val="24"/>
        </w:rPr>
        <w:t xml:space="preserve"> </w:t>
      </w:r>
      <w:r w:rsidR="00160E6B">
        <w:rPr>
          <w:rFonts w:ascii="Times New Roman" w:hAnsi="Times New Roman" w:cs="Times New Roman"/>
          <w:sz w:val="24"/>
          <w:szCs w:val="24"/>
        </w:rPr>
        <w:t xml:space="preserve"> </w:t>
      </w:r>
      <w:r w:rsidR="006C5928">
        <w:rPr>
          <w:rFonts w:ascii="Times New Roman" w:hAnsi="Times New Roman" w:cs="Times New Roman"/>
          <w:sz w:val="24"/>
          <w:szCs w:val="24"/>
        </w:rPr>
        <w:t>Upgrading to a Tier III system will increase availability from 99.67% to 99.98%, reducing downtime and saving a significant amount of money per year.</w:t>
      </w:r>
    </w:p>
    <w:p w:rsidR="00630337" w:rsidRDefault="00630337" w:rsidP="008C0216">
      <w:pPr>
        <w:spacing w:line="360" w:lineRule="auto"/>
        <w:rPr>
          <w:rFonts w:ascii="Times New Roman" w:hAnsi="Times New Roman" w:cs="Times New Roman"/>
          <w:sz w:val="24"/>
          <w:szCs w:val="24"/>
        </w:rPr>
      </w:pPr>
      <w:r>
        <w:rPr>
          <w:rFonts w:ascii="Times New Roman" w:hAnsi="Times New Roman" w:cs="Times New Roman"/>
          <w:sz w:val="24"/>
          <w:szCs w:val="24"/>
        </w:rPr>
        <w:tab/>
      </w:r>
      <w:r w:rsidR="004F1C9D">
        <w:rPr>
          <w:rFonts w:ascii="Times New Roman" w:hAnsi="Times New Roman" w:cs="Times New Roman"/>
          <w:sz w:val="24"/>
          <w:szCs w:val="24"/>
        </w:rPr>
        <w:t>Compared to Tier I, a Tier III data center has many advantages</w:t>
      </w:r>
      <w:r w:rsidR="006C5928">
        <w:rPr>
          <w:rFonts w:ascii="Times New Roman" w:hAnsi="Times New Roman" w:cs="Times New Roman"/>
          <w:sz w:val="24"/>
          <w:szCs w:val="24"/>
        </w:rPr>
        <w:t>, such as a multiple distribution system and increased availability</w:t>
      </w:r>
      <w:r w:rsidR="004F1C9D">
        <w:rPr>
          <w:rFonts w:ascii="Times New Roman" w:hAnsi="Times New Roman" w:cs="Times New Roman"/>
          <w:sz w:val="24"/>
          <w:szCs w:val="24"/>
        </w:rPr>
        <w:t>.</w:t>
      </w:r>
      <w:r w:rsidR="00CA3C38">
        <w:rPr>
          <w:rFonts w:ascii="Times New Roman" w:hAnsi="Times New Roman" w:cs="Times New Roman"/>
          <w:sz w:val="24"/>
          <w:szCs w:val="24"/>
        </w:rPr>
        <w:t xml:space="preserve"> While </w:t>
      </w:r>
      <w:r w:rsidR="008C0216">
        <w:rPr>
          <w:rFonts w:ascii="Times New Roman" w:hAnsi="Times New Roman" w:cs="Times New Roman"/>
          <w:sz w:val="24"/>
          <w:szCs w:val="24"/>
        </w:rPr>
        <w:t>our</w:t>
      </w:r>
      <w:r w:rsidR="00CA3C38">
        <w:rPr>
          <w:rFonts w:ascii="Times New Roman" w:hAnsi="Times New Roman" w:cs="Times New Roman"/>
          <w:sz w:val="24"/>
          <w:szCs w:val="24"/>
        </w:rPr>
        <w:t xml:space="preserve"> Tier I is composed of only a single path for power and cooling distribution, a Tier III is composed of multiple active power and cooling distribution paths. This allows for the system to continue running because it can switch to another power source if an outage occurs in one of the power sources</w:t>
      </w:r>
      <w:r w:rsidR="001B769D">
        <w:rPr>
          <w:rFonts w:ascii="Times New Roman" w:hAnsi="Times New Roman" w:cs="Times New Roman"/>
          <w:sz w:val="24"/>
          <w:szCs w:val="24"/>
        </w:rPr>
        <w:t xml:space="preserve"> (Uptime Institute, LLC)</w:t>
      </w:r>
      <w:r w:rsidR="00CA3C38">
        <w:rPr>
          <w:rFonts w:ascii="Times New Roman" w:hAnsi="Times New Roman" w:cs="Times New Roman"/>
          <w:sz w:val="24"/>
          <w:szCs w:val="24"/>
        </w:rPr>
        <w:t>. Another advantage of a Tier</w:t>
      </w:r>
      <w:r w:rsidR="008C0216">
        <w:rPr>
          <w:rFonts w:ascii="Times New Roman" w:hAnsi="Times New Roman" w:cs="Times New Roman"/>
          <w:sz w:val="24"/>
          <w:szCs w:val="24"/>
        </w:rPr>
        <w:t xml:space="preserve"> III data center is that while our</w:t>
      </w:r>
      <w:r w:rsidR="00CA3C38">
        <w:rPr>
          <w:rFonts w:ascii="Times New Roman" w:hAnsi="Times New Roman" w:cs="Times New Roman"/>
          <w:sz w:val="24"/>
          <w:szCs w:val="24"/>
        </w:rPr>
        <w:t xml:space="preserve"> Tier I has </w:t>
      </w:r>
      <w:proofErr w:type="spellStart"/>
      <w:r w:rsidR="00CA3C38">
        <w:rPr>
          <w:rFonts w:ascii="Times New Roman" w:hAnsi="Times New Roman" w:cs="Times New Roman"/>
          <w:sz w:val="24"/>
          <w:szCs w:val="24"/>
        </w:rPr>
        <w:t>nonredundant</w:t>
      </w:r>
      <w:proofErr w:type="spellEnd"/>
      <w:r w:rsidR="00CA3C38">
        <w:rPr>
          <w:rFonts w:ascii="Times New Roman" w:hAnsi="Times New Roman" w:cs="Times New Roman"/>
          <w:sz w:val="24"/>
          <w:szCs w:val="24"/>
        </w:rPr>
        <w:t xml:space="preserve"> components, a Tier III</w:t>
      </w:r>
      <w:r w:rsidR="00A30C65">
        <w:rPr>
          <w:rFonts w:ascii="Times New Roman" w:hAnsi="Times New Roman" w:cs="Times New Roman"/>
          <w:sz w:val="24"/>
          <w:szCs w:val="24"/>
        </w:rPr>
        <w:t xml:space="preserve"> has redundant components and are</w:t>
      </w:r>
      <w:r w:rsidR="00CA3C38">
        <w:rPr>
          <w:rFonts w:ascii="Times New Roman" w:hAnsi="Times New Roman" w:cs="Times New Roman"/>
          <w:sz w:val="24"/>
          <w:szCs w:val="24"/>
        </w:rPr>
        <w:t xml:space="preserve"> concurrently maintainable. This means that the system can still be up during dow</w:t>
      </w:r>
      <w:r w:rsidR="001B769D">
        <w:rPr>
          <w:rFonts w:ascii="Times New Roman" w:hAnsi="Times New Roman" w:cs="Times New Roman"/>
          <w:sz w:val="24"/>
          <w:szCs w:val="24"/>
        </w:rPr>
        <w:t>ntown, such as</w:t>
      </w:r>
      <w:r w:rsidR="00A30C65">
        <w:rPr>
          <w:rFonts w:ascii="Times New Roman" w:hAnsi="Times New Roman" w:cs="Times New Roman"/>
          <w:sz w:val="24"/>
          <w:szCs w:val="24"/>
        </w:rPr>
        <w:t xml:space="preserve"> during</w:t>
      </w:r>
      <w:r w:rsidR="001B769D">
        <w:rPr>
          <w:rFonts w:ascii="Times New Roman" w:hAnsi="Times New Roman" w:cs="Times New Roman"/>
          <w:sz w:val="24"/>
          <w:szCs w:val="24"/>
        </w:rPr>
        <w:t xml:space="preserve"> maintenance (</w:t>
      </w:r>
      <w:proofErr w:type="spellStart"/>
      <w:r w:rsidR="001B769D">
        <w:rPr>
          <w:rFonts w:ascii="Times New Roman" w:hAnsi="Times New Roman" w:cs="Times New Roman"/>
          <w:sz w:val="24"/>
          <w:szCs w:val="24"/>
        </w:rPr>
        <w:t>Nixcraft</w:t>
      </w:r>
      <w:proofErr w:type="spellEnd"/>
      <w:r w:rsidR="001B769D">
        <w:rPr>
          <w:rFonts w:ascii="Times New Roman" w:hAnsi="Times New Roman" w:cs="Times New Roman"/>
          <w:sz w:val="24"/>
          <w:szCs w:val="24"/>
        </w:rPr>
        <w:t>)</w:t>
      </w:r>
      <w:r w:rsidR="00CA3C38">
        <w:rPr>
          <w:rFonts w:ascii="Times New Roman" w:hAnsi="Times New Roman" w:cs="Times New Roman"/>
          <w:sz w:val="24"/>
          <w:szCs w:val="24"/>
        </w:rPr>
        <w:t xml:space="preserve">. </w:t>
      </w:r>
      <w:r w:rsidR="0045714F">
        <w:rPr>
          <w:rFonts w:ascii="Times New Roman" w:hAnsi="Times New Roman" w:cs="Times New Roman"/>
          <w:sz w:val="24"/>
          <w:szCs w:val="24"/>
        </w:rPr>
        <w:t xml:space="preserve">To put this into perspective, </w:t>
      </w:r>
      <w:proofErr w:type="spellStart"/>
      <w:proofErr w:type="gramStart"/>
      <w:r w:rsidR="0045714F">
        <w:rPr>
          <w:rFonts w:ascii="Times New Roman" w:hAnsi="Times New Roman" w:cs="Times New Roman"/>
          <w:sz w:val="24"/>
          <w:szCs w:val="24"/>
        </w:rPr>
        <w:t>ur</w:t>
      </w:r>
      <w:proofErr w:type="spellEnd"/>
      <w:proofErr w:type="gramEnd"/>
      <w:r w:rsidR="0045714F">
        <w:rPr>
          <w:rFonts w:ascii="Times New Roman" w:hAnsi="Times New Roman" w:cs="Times New Roman"/>
          <w:sz w:val="24"/>
          <w:szCs w:val="24"/>
        </w:rPr>
        <w:t xml:space="preserve"> Tier I data center has 99.67% availability, which means that we have 1,734.48 minutes (28.91 hours) of downtown per year (</w:t>
      </w:r>
      <w:proofErr w:type="spellStart"/>
      <w:r w:rsidR="0045714F">
        <w:rPr>
          <w:rFonts w:ascii="Times New Roman" w:hAnsi="Times New Roman" w:cs="Times New Roman"/>
          <w:sz w:val="24"/>
          <w:szCs w:val="24"/>
        </w:rPr>
        <w:t>Cappuccio</w:t>
      </w:r>
      <w:proofErr w:type="spellEnd"/>
      <w:r w:rsidR="0045714F">
        <w:rPr>
          <w:rFonts w:ascii="Times New Roman" w:hAnsi="Times New Roman" w:cs="Times New Roman"/>
          <w:sz w:val="24"/>
          <w:szCs w:val="24"/>
        </w:rPr>
        <w:t xml:space="preserve">). With a Tier III data center however, we would be running with 99.98% availability. </w:t>
      </w:r>
      <w:r w:rsidR="00CA3C38">
        <w:rPr>
          <w:rFonts w:ascii="Times New Roman" w:hAnsi="Times New Roman" w:cs="Times New Roman"/>
          <w:sz w:val="24"/>
          <w:szCs w:val="24"/>
        </w:rPr>
        <w:t>These advantages make a Tier III data center much more valuable than our current Tier I center.</w:t>
      </w:r>
    </w:p>
    <w:p w:rsidR="00A30C65" w:rsidRDefault="00CA3C38" w:rsidP="008C0216">
      <w:pPr>
        <w:spacing w:line="360" w:lineRule="auto"/>
        <w:rPr>
          <w:rFonts w:ascii="Times New Roman" w:hAnsi="Times New Roman" w:cs="Times New Roman"/>
          <w:sz w:val="24"/>
          <w:szCs w:val="24"/>
        </w:rPr>
      </w:pPr>
      <w:r>
        <w:rPr>
          <w:rFonts w:ascii="Times New Roman" w:hAnsi="Times New Roman" w:cs="Times New Roman"/>
          <w:sz w:val="24"/>
          <w:szCs w:val="24"/>
        </w:rPr>
        <w:tab/>
      </w:r>
      <w:r w:rsidR="008C0216">
        <w:rPr>
          <w:rFonts w:ascii="Times New Roman" w:hAnsi="Times New Roman" w:cs="Times New Roman"/>
          <w:sz w:val="24"/>
          <w:szCs w:val="24"/>
        </w:rPr>
        <w:t xml:space="preserve">Building a Tier III data center will </w:t>
      </w:r>
      <w:r w:rsidR="00E62474">
        <w:rPr>
          <w:rFonts w:ascii="Times New Roman" w:hAnsi="Times New Roman" w:cs="Times New Roman"/>
          <w:sz w:val="24"/>
          <w:szCs w:val="24"/>
        </w:rPr>
        <w:t>take one</w:t>
      </w:r>
      <w:r w:rsidR="00E83644">
        <w:rPr>
          <w:rFonts w:ascii="Times New Roman" w:hAnsi="Times New Roman" w:cs="Times New Roman"/>
          <w:sz w:val="24"/>
          <w:szCs w:val="24"/>
        </w:rPr>
        <w:t xml:space="preserve"> year and </w:t>
      </w:r>
      <w:r w:rsidR="008C0216">
        <w:rPr>
          <w:rFonts w:ascii="Times New Roman" w:hAnsi="Times New Roman" w:cs="Times New Roman"/>
          <w:sz w:val="24"/>
          <w:szCs w:val="24"/>
        </w:rPr>
        <w:t xml:space="preserve">cost $35,000,000. </w:t>
      </w:r>
      <w:r w:rsidR="00A30C65">
        <w:rPr>
          <w:rFonts w:ascii="Times New Roman" w:hAnsi="Times New Roman" w:cs="Times New Roman"/>
          <w:sz w:val="24"/>
          <w:szCs w:val="24"/>
        </w:rPr>
        <w:t>The financial benefits of this system will outweigh the costs in just two years</w:t>
      </w:r>
      <w:r w:rsidR="00E83644">
        <w:rPr>
          <w:rFonts w:ascii="Times New Roman" w:hAnsi="Times New Roman" w:cs="Times New Roman"/>
          <w:sz w:val="24"/>
          <w:szCs w:val="24"/>
        </w:rPr>
        <w:t>.</w:t>
      </w:r>
      <w:r w:rsidR="008C0216">
        <w:rPr>
          <w:rFonts w:ascii="Times New Roman" w:hAnsi="Times New Roman" w:cs="Times New Roman"/>
          <w:sz w:val="24"/>
          <w:szCs w:val="24"/>
        </w:rPr>
        <w:t xml:space="preserve"> </w:t>
      </w:r>
      <w:r w:rsidR="00E83644">
        <w:rPr>
          <w:rFonts w:ascii="Times New Roman" w:hAnsi="Times New Roman" w:cs="Times New Roman"/>
          <w:sz w:val="24"/>
          <w:szCs w:val="24"/>
        </w:rPr>
        <w:t xml:space="preserve">Every minute of downtown costs us $14,800. </w:t>
      </w:r>
      <w:r w:rsidR="00005B48">
        <w:rPr>
          <w:rFonts w:ascii="Times New Roman" w:hAnsi="Times New Roman" w:cs="Times New Roman"/>
          <w:sz w:val="24"/>
          <w:szCs w:val="24"/>
        </w:rPr>
        <w:t>As shown in Table 1, downtime per year with our Tier I data center</w:t>
      </w:r>
      <w:r w:rsidR="00E83644">
        <w:rPr>
          <w:rFonts w:ascii="Times New Roman" w:hAnsi="Times New Roman" w:cs="Times New Roman"/>
          <w:sz w:val="24"/>
          <w:szCs w:val="24"/>
        </w:rPr>
        <w:t xml:space="preserve"> costs us an astonishing $25,670,304 per year. With a Tier III data center however, </w:t>
      </w:r>
      <w:r w:rsidR="00005B48">
        <w:rPr>
          <w:rFonts w:ascii="Times New Roman" w:hAnsi="Times New Roman" w:cs="Times New Roman"/>
          <w:sz w:val="24"/>
          <w:szCs w:val="24"/>
        </w:rPr>
        <w:t xml:space="preserve">downtime would </w:t>
      </w:r>
      <w:r w:rsidR="00E83644">
        <w:rPr>
          <w:rFonts w:ascii="Times New Roman" w:hAnsi="Times New Roman" w:cs="Times New Roman"/>
          <w:sz w:val="24"/>
          <w:szCs w:val="24"/>
        </w:rPr>
        <w:t>instead only cost us $1,555,776</w:t>
      </w:r>
      <w:r w:rsidR="00005B48">
        <w:rPr>
          <w:rFonts w:ascii="Times New Roman" w:hAnsi="Times New Roman" w:cs="Times New Roman"/>
          <w:sz w:val="24"/>
          <w:szCs w:val="24"/>
        </w:rPr>
        <w:t xml:space="preserve"> per year</w:t>
      </w:r>
      <w:r w:rsidR="00E83644">
        <w:rPr>
          <w:rFonts w:ascii="Times New Roman" w:hAnsi="Times New Roman" w:cs="Times New Roman"/>
          <w:sz w:val="24"/>
          <w:szCs w:val="24"/>
        </w:rPr>
        <w:t xml:space="preserve">. </w:t>
      </w:r>
      <w:r w:rsidR="00E62474">
        <w:rPr>
          <w:rFonts w:ascii="Times New Roman" w:hAnsi="Times New Roman" w:cs="Times New Roman"/>
          <w:sz w:val="24"/>
          <w:szCs w:val="24"/>
        </w:rPr>
        <w:t>As Table 2 shows, t</w:t>
      </w:r>
      <w:r w:rsidR="00E83644">
        <w:rPr>
          <w:rFonts w:ascii="Times New Roman" w:hAnsi="Times New Roman" w:cs="Times New Roman"/>
          <w:sz w:val="24"/>
          <w:szCs w:val="24"/>
        </w:rPr>
        <w:t>his will save us $24,114,528 per year</w:t>
      </w:r>
      <w:r w:rsidR="00005B48">
        <w:rPr>
          <w:rFonts w:ascii="Times New Roman" w:hAnsi="Times New Roman" w:cs="Times New Roman"/>
          <w:sz w:val="24"/>
          <w:szCs w:val="24"/>
        </w:rPr>
        <w:t xml:space="preserve"> and provide net savings of $13,229,056 over three years (38% </w:t>
      </w:r>
      <w:proofErr w:type="gramStart"/>
      <w:r w:rsidR="00005B48">
        <w:rPr>
          <w:rFonts w:ascii="Times New Roman" w:hAnsi="Times New Roman" w:cs="Times New Roman"/>
          <w:sz w:val="24"/>
          <w:szCs w:val="24"/>
        </w:rPr>
        <w:t>return</w:t>
      </w:r>
      <w:proofErr w:type="gramEnd"/>
      <w:r w:rsidR="00005B48">
        <w:rPr>
          <w:rFonts w:ascii="Times New Roman" w:hAnsi="Times New Roman" w:cs="Times New Roman"/>
          <w:sz w:val="24"/>
          <w:szCs w:val="24"/>
        </w:rPr>
        <w:t xml:space="preserve"> on investment)</w:t>
      </w:r>
      <w:r w:rsidR="00E83644">
        <w:rPr>
          <w:rFonts w:ascii="Times New Roman" w:hAnsi="Times New Roman" w:cs="Times New Roman"/>
          <w:sz w:val="24"/>
          <w:szCs w:val="24"/>
        </w:rPr>
        <w:t xml:space="preserve">. </w:t>
      </w:r>
      <w:r w:rsidR="00005B48">
        <w:rPr>
          <w:rFonts w:ascii="Times New Roman" w:hAnsi="Times New Roman" w:cs="Times New Roman"/>
          <w:sz w:val="24"/>
          <w:szCs w:val="24"/>
        </w:rPr>
        <w:t>These savings will continue every year after implementing the Tier III data center.</w:t>
      </w:r>
    </w:p>
    <w:p w:rsidR="00E62474" w:rsidRDefault="00E62474" w:rsidP="008C0216">
      <w:pPr>
        <w:spacing w:line="360" w:lineRule="auto"/>
        <w:rPr>
          <w:rFonts w:ascii="Times New Roman" w:hAnsi="Times New Roman" w:cs="Times New Roman"/>
          <w:sz w:val="24"/>
          <w:szCs w:val="24"/>
        </w:rPr>
      </w:pPr>
    </w:p>
    <w:p w:rsidR="00A30C65" w:rsidRDefault="00A30C65" w:rsidP="008C0216">
      <w:pPr>
        <w:spacing w:line="360" w:lineRule="auto"/>
        <w:rPr>
          <w:rFonts w:ascii="Times New Roman" w:hAnsi="Times New Roman" w:cs="Times New Roman"/>
          <w:sz w:val="24"/>
          <w:szCs w:val="24"/>
        </w:rPr>
      </w:pPr>
    </w:p>
    <w:p w:rsidR="00A30C65" w:rsidRDefault="00A30C65" w:rsidP="008C021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Table 1: Cost of Downtime</w:t>
      </w:r>
    </w:p>
    <w:tbl>
      <w:tblPr>
        <w:tblStyle w:val="TableGrid"/>
        <w:tblW w:w="0" w:type="auto"/>
        <w:tblLook w:val="04A0"/>
      </w:tblPr>
      <w:tblGrid>
        <w:gridCol w:w="1951"/>
        <w:gridCol w:w="1951"/>
        <w:gridCol w:w="1951"/>
        <w:gridCol w:w="1951"/>
      </w:tblGrid>
      <w:tr w:rsidR="00B707E6" w:rsidTr="00B707E6">
        <w:trPr>
          <w:trHeight w:val="422"/>
        </w:trPr>
        <w:tc>
          <w:tcPr>
            <w:tcW w:w="1951" w:type="dxa"/>
            <w:tcBorders>
              <w:top w:val="single" w:sz="12" w:space="0" w:color="auto"/>
              <w:left w:val="single" w:sz="12" w:space="0" w:color="auto"/>
            </w:tcBorders>
          </w:tcPr>
          <w:p w:rsidR="00B707E6" w:rsidRDefault="00B707E6" w:rsidP="00B707E6">
            <w:pPr>
              <w:spacing w:line="360" w:lineRule="auto"/>
              <w:jc w:val="center"/>
              <w:rPr>
                <w:rFonts w:ascii="Times New Roman" w:hAnsi="Times New Roman" w:cs="Times New Roman"/>
                <w:sz w:val="24"/>
                <w:szCs w:val="24"/>
              </w:rPr>
            </w:pPr>
            <w:r>
              <w:rPr>
                <w:rFonts w:ascii="Times New Roman" w:hAnsi="Times New Roman" w:cs="Times New Roman"/>
                <w:sz w:val="24"/>
                <w:szCs w:val="24"/>
              </w:rPr>
              <w:t>Tier Level</w:t>
            </w:r>
          </w:p>
        </w:tc>
        <w:tc>
          <w:tcPr>
            <w:tcW w:w="1951" w:type="dxa"/>
            <w:tcBorders>
              <w:top w:val="single" w:sz="12" w:space="0" w:color="auto"/>
            </w:tcBorders>
          </w:tcPr>
          <w:p w:rsidR="00B707E6" w:rsidRDefault="00B707E6" w:rsidP="00B707E6">
            <w:pPr>
              <w:spacing w:line="360" w:lineRule="auto"/>
              <w:jc w:val="center"/>
              <w:rPr>
                <w:rFonts w:ascii="Times New Roman" w:hAnsi="Times New Roman" w:cs="Times New Roman"/>
                <w:sz w:val="24"/>
                <w:szCs w:val="24"/>
              </w:rPr>
            </w:pPr>
            <w:r>
              <w:rPr>
                <w:rFonts w:ascii="Times New Roman" w:hAnsi="Times New Roman" w:cs="Times New Roman"/>
                <w:sz w:val="24"/>
                <w:szCs w:val="24"/>
              </w:rPr>
              <w:t>Availability</w:t>
            </w:r>
          </w:p>
        </w:tc>
        <w:tc>
          <w:tcPr>
            <w:tcW w:w="1951" w:type="dxa"/>
            <w:tcBorders>
              <w:top w:val="single" w:sz="12" w:space="0" w:color="auto"/>
            </w:tcBorders>
          </w:tcPr>
          <w:p w:rsidR="00B707E6" w:rsidRDefault="00B707E6" w:rsidP="00B707E6">
            <w:pPr>
              <w:spacing w:line="276" w:lineRule="auto"/>
              <w:jc w:val="center"/>
              <w:rPr>
                <w:rFonts w:ascii="Times New Roman" w:hAnsi="Times New Roman" w:cs="Times New Roman"/>
                <w:sz w:val="24"/>
                <w:szCs w:val="24"/>
              </w:rPr>
            </w:pPr>
            <w:r>
              <w:rPr>
                <w:rFonts w:ascii="Times New Roman" w:hAnsi="Times New Roman" w:cs="Times New Roman"/>
                <w:sz w:val="24"/>
                <w:szCs w:val="24"/>
              </w:rPr>
              <w:t>Downtime (min/year)</w:t>
            </w:r>
          </w:p>
        </w:tc>
        <w:tc>
          <w:tcPr>
            <w:tcW w:w="1951" w:type="dxa"/>
            <w:tcBorders>
              <w:top w:val="single" w:sz="12" w:space="0" w:color="auto"/>
              <w:right w:val="single" w:sz="12" w:space="0" w:color="auto"/>
            </w:tcBorders>
          </w:tcPr>
          <w:p w:rsidR="00B707E6" w:rsidRDefault="00B707E6" w:rsidP="00B707E6">
            <w:pPr>
              <w:spacing w:line="276" w:lineRule="auto"/>
              <w:jc w:val="center"/>
              <w:rPr>
                <w:rFonts w:ascii="Times New Roman" w:hAnsi="Times New Roman" w:cs="Times New Roman"/>
                <w:sz w:val="24"/>
                <w:szCs w:val="24"/>
              </w:rPr>
            </w:pPr>
            <w:r>
              <w:rPr>
                <w:rFonts w:ascii="Times New Roman" w:hAnsi="Times New Roman" w:cs="Times New Roman"/>
                <w:sz w:val="24"/>
                <w:szCs w:val="24"/>
              </w:rPr>
              <w:t>Downtime cost in one year ($)</w:t>
            </w:r>
          </w:p>
        </w:tc>
      </w:tr>
      <w:tr w:rsidR="00B707E6" w:rsidTr="006F5783">
        <w:trPr>
          <w:trHeight w:val="438"/>
        </w:trPr>
        <w:tc>
          <w:tcPr>
            <w:tcW w:w="1951" w:type="dxa"/>
            <w:tcBorders>
              <w:left w:val="single" w:sz="12" w:space="0" w:color="auto"/>
              <w:bottom w:val="single" w:sz="4" w:space="0" w:color="auto"/>
            </w:tcBorders>
          </w:tcPr>
          <w:p w:rsidR="00B707E6" w:rsidRDefault="00B707E6" w:rsidP="008C0216">
            <w:pPr>
              <w:spacing w:line="360" w:lineRule="auto"/>
              <w:rPr>
                <w:rFonts w:ascii="Times New Roman" w:hAnsi="Times New Roman" w:cs="Times New Roman"/>
                <w:sz w:val="24"/>
                <w:szCs w:val="24"/>
              </w:rPr>
            </w:pPr>
            <w:r>
              <w:rPr>
                <w:rFonts w:ascii="Times New Roman" w:hAnsi="Times New Roman" w:cs="Times New Roman"/>
                <w:sz w:val="24"/>
                <w:szCs w:val="24"/>
              </w:rPr>
              <w:t>Tier I</w:t>
            </w:r>
          </w:p>
        </w:tc>
        <w:tc>
          <w:tcPr>
            <w:tcW w:w="1951" w:type="dxa"/>
            <w:tcBorders>
              <w:bottom w:val="single" w:sz="4" w:space="0" w:color="auto"/>
            </w:tcBorders>
          </w:tcPr>
          <w:p w:rsidR="00B707E6" w:rsidRDefault="00B707E6" w:rsidP="00B707E6">
            <w:pPr>
              <w:spacing w:line="360" w:lineRule="auto"/>
              <w:jc w:val="right"/>
              <w:rPr>
                <w:rFonts w:ascii="Times New Roman" w:hAnsi="Times New Roman" w:cs="Times New Roman"/>
                <w:sz w:val="24"/>
                <w:szCs w:val="24"/>
              </w:rPr>
            </w:pPr>
            <w:r>
              <w:rPr>
                <w:rFonts w:ascii="Times New Roman" w:hAnsi="Times New Roman" w:cs="Times New Roman"/>
                <w:sz w:val="24"/>
                <w:szCs w:val="24"/>
              </w:rPr>
              <w:t>99.67%</w:t>
            </w:r>
          </w:p>
        </w:tc>
        <w:tc>
          <w:tcPr>
            <w:tcW w:w="1951" w:type="dxa"/>
            <w:tcBorders>
              <w:bottom w:val="single" w:sz="4" w:space="0" w:color="auto"/>
            </w:tcBorders>
          </w:tcPr>
          <w:p w:rsidR="00B707E6" w:rsidRDefault="00B707E6" w:rsidP="00B707E6">
            <w:pPr>
              <w:spacing w:line="360" w:lineRule="auto"/>
              <w:jc w:val="right"/>
              <w:rPr>
                <w:rFonts w:ascii="Times New Roman" w:hAnsi="Times New Roman" w:cs="Times New Roman"/>
                <w:sz w:val="24"/>
                <w:szCs w:val="24"/>
              </w:rPr>
            </w:pPr>
            <w:r>
              <w:rPr>
                <w:rFonts w:ascii="Times New Roman" w:hAnsi="Times New Roman" w:cs="Times New Roman"/>
                <w:sz w:val="24"/>
                <w:szCs w:val="24"/>
              </w:rPr>
              <w:t>1,734.48</w:t>
            </w:r>
          </w:p>
        </w:tc>
        <w:tc>
          <w:tcPr>
            <w:tcW w:w="1951" w:type="dxa"/>
            <w:tcBorders>
              <w:bottom w:val="single" w:sz="4" w:space="0" w:color="auto"/>
              <w:right w:val="single" w:sz="12" w:space="0" w:color="auto"/>
            </w:tcBorders>
          </w:tcPr>
          <w:p w:rsidR="00B707E6" w:rsidRDefault="00B707E6" w:rsidP="00B707E6">
            <w:pPr>
              <w:spacing w:line="360" w:lineRule="auto"/>
              <w:jc w:val="right"/>
              <w:rPr>
                <w:rFonts w:ascii="Times New Roman" w:hAnsi="Times New Roman" w:cs="Times New Roman"/>
                <w:sz w:val="24"/>
                <w:szCs w:val="24"/>
              </w:rPr>
            </w:pPr>
            <w:r>
              <w:rPr>
                <w:rFonts w:ascii="Times New Roman" w:hAnsi="Times New Roman" w:cs="Times New Roman"/>
                <w:sz w:val="24"/>
                <w:szCs w:val="24"/>
              </w:rPr>
              <w:t>$   25,670,304.00</w:t>
            </w:r>
          </w:p>
        </w:tc>
      </w:tr>
      <w:tr w:rsidR="00B707E6" w:rsidTr="006F5783">
        <w:trPr>
          <w:trHeight w:val="422"/>
        </w:trPr>
        <w:tc>
          <w:tcPr>
            <w:tcW w:w="1951" w:type="dxa"/>
            <w:tcBorders>
              <w:left w:val="single" w:sz="12" w:space="0" w:color="auto"/>
              <w:bottom w:val="single" w:sz="12" w:space="0" w:color="auto"/>
            </w:tcBorders>
          </w:tcPr>
          <w:p w:rsidR="00B707E6" w:rsidRDefault="00B707E6" w:rsidP="008C0216">
            <w:pPr>
              <w:spacing w:line="360" w:lineRule="auto"/>
              <w:rPr>
                <w:rFonts w:ascii="Times New Roman" w:hAnsi="Times New Roman" w:cs="Times New Roman"/>
                <w:sz w:val="24"/>
                <w:szCs w:val="24"/>
              </w:rPr>
            </w:pPr>
            <w:r>
              <w:rPr>
                <w:rFonts w:ascii="Times New Roman" w:hAnsi="Times New Roman" w:cs="Times New Roman"/>
                <w:sz w:val="24"/>
                <w:szCs w:val="24"/>
              </w:rPr>
              <w:t>Tier III</w:t>
            </w:r>
          </w:p>
        </w:tc>
        <w:tc>
          <w:tcPr>
            <w:tcW w:w="1951" w:type="dxa"/>
            <w:tcBorders>
              <w:bottom w:val="single" w:sz="12" w:space="0" w:color="auto"/>
            </w:tcBorders>
          </w:tcPr>
          <w:p w:rsidR="00B707E6" w:rsidRDefault="00B707E6" w:rsidP="00B707E6">
            <w:pPr>
              <w:spacing w:line="360" w:lineRule="auto"/>
              <w:jc w:val="right"/>
              <w:rPr>
                <w:rFonts w:ascii="Times New Roman" w:hAnsi="Times New Roman" w:cs="Times New Roman"/>
                <w:sz w:val="24"/>
                <w:szCs w:val="24"/>
              </w:rPr>
            </w:pPr>
            <w:r>
              <w:rPr>
                <w:rFonts w:ascii="Times New Roman" w:hAnsi="Times New Roman" w:cs="Times New Roman"/>
                <w:sz w:val="24"/>
                <w:szCs w:val="24"/>
              </w:rPr>
              <w:t>99.98%</w:t>
            </w:r>
          </w:p>
        </w:tc>
        <w:tc>
          <w:tcPr>
            <w:tcW w:w="1951" w:type="dxa"/>
            <w:tcBorders>
              <w:bottom w:val="single" w:sz="12" w:space="0" w:color="auto"/>
            </w:tcBorders>
          </w:tcPr>
          <w:p w:rsidR="00B707E6" w:rsidRDefault="00B707E6" w:rsidP="00B707E6">
            <w:pPr>
              <w:spacing w:line="360" w:lineRule="auto"/>
              <w:jc w:val="right"/>
              <w:rPr>
                <w:rFonts w:ascii="Times New Roman" w:hAnsi="Times New Roman" w:cs="Times New Roman"/>
                <w:sz w:val="24"/>
                <w:szCs w:val="24"/>
              </w:rPr>
            </w:pPr>
            <w:r>
              <w:rPr>
                <w:rFonts w:ascii="Times New Roman" w:hAnsi="Times New Roman" w:cs="Times New Roman"/>
                <w:sz w:val="24"/>
                <w:szCs w:val="24"/>
              </w:rPr>
              <w:t>105.12</w:t>
            </w:r>
          </w:p>
        </w:tc>
        <w:tc>
          <w:tcPr>
            <w:tcW w:w="1951" w:type="dxa"/>
            <w:tcBorders>
              <w:bottom w:val="single" w:sz="12" w:space="0" w:color="auto"/>
              <w:right w:val="single" w:sz="12" w:space="0" w:color="auto"/>
            </w:tcBorders>
          </w:tcPr>
          <w:p w:rsidR="00B707E6" w:rsidRDefault="00B707E6" w:rsidP="00B707E6">
            <w:pPr>
              <w:spacing w:line="360" w:lineRule="auto"/>
              <w:jc w:val="right"/>
              <w:rPr>
                <w:rFonts w:ascii="Times New Roman" w:hAnsi="Times New Roman" w:cs="Times New Roman"/>
                <w:sz w:val="24"/>
                <w:szCs w:val="24"/>
              </w:rPr>
            </w:pPr>
            <w:r>
              <w:rPr>
                <w:rFonts w:ascii="Times New Roman" w:hAnsi="Times New Roman" w:cs="Times New Roman"/>
                <w:sz w:val="24"/>
                <w:szCs w:val="24"/>
              </w:rPr>
              <w:t>$     1,555,776.00</w:t>
            </w:r>
          </w:p>
        </w:tc>
      </w:tr>
      <w:tr w:rsidR="006F5783" w:rsidTr="006F5783">
        <w:trPr>
          <w:trHeight w:val="422"/>
        </w:trPr>
        <w:tc>
          <w:tcPr>
            <w:tcW w:w="1951" w:type="dxa"/>
            <w:tcBorders>
              <w:top w:val="single" w:sz="12" w:space="0" w:color="auto"/>
              <w:left w:val="nil"/>
              <w:bottom w:val="nil"/>
              <w:right w:val="nil"/>
            </w:tcBorders>
          </w:tcPr>
          <w:p w:rsidR="00B707E6" w:rsidRDefault="00B707E6" w:rsidP="008C0216">
            <w:pPr>
              <w:spacing w:line="360" w:lineRule="auto"/>
              <w:rPr>
                <w:rFonts w:ascii="Times New Roman" w:hAnsi="Times New Roman" w:cs="Times New Roman"/>
                <w:sz w:val="24"/>
                <w:szCs w:val="24"/>
              </w:rPr>
            </w:pPr>
          </w:p>
        </w:tc>
        <w:tc>
          <w:tcPr>
            <w:tcW w:w="1951" w:type="dxa"/>
            <w:tcBorders>
              <w:top w:val="single" w:sz="12" w:space="0" w:color="auto"/>
              <w:left w:val="nil"/>
              <w:bottom w:val="nil"/>
              <w:right w:val="dotted" w:sz="4" w:space="0" w:color="auto"/>
            </w:tcBorders>
          </w:tcPr>
          <w:p w:rsidR="00B707E6" w:rsidRDefault="00B707E6" w:rsidP="00B707E6">
            <w:pPr>
              <w:spacing w:line="360" w:lineRule="auto"/>
              <w:jc w:val="right"/>
              <w:rPr>
                <w:rFonts w:ascii="Times New Roman" w:hAnsi="Times New Roman" w:cs="Times New Roman"/>
                <w:sz w:val="24"/>
                <w:szCs w:val="24"/>
              </w:rPr>
            </w:pPr>
          </w:p>
        </w:tc>
        <w:tc>
          <w:tcPr>
            <w:tcW w:w="1951" w:type="dxa"/>
            <w:tcBorders>
              <w:top w:val="single" w:sz="12" w:space="0" w:color="auto"/>
              <w:left w:val="dotted" w:sz="4" w:space="0" w:color="auto"/>
              <w:bottom w:val="nil"/>
              <w:right w:val="nil"/>
            </w:tcBorders>
          </w:tcPr>
          <w:p w:rsidR="00B707E6" w:rsidRDefault="00B707E6" w:rsidP="00B707E6">
            <w:pPr>
              <w:spacing w:line="276" w:lineRule="auto"/>
              <w:jc w:val="right"/>
              <w:rPr>
                <w:rFonts w:ascii="Times New Roman" w:hAnsi="Times New Roman" w:cs="Times New Roman"/>
                <w:sz w:val="24"/>
                <w:szCs w:val="24"/>
              </w:rPr>
            </w:pPr>
          </w:p>
        </w:tc>
        <w:tc>
          <w:tcPr>
            <w:tcW w:w="1951" w:type="dxa"/>
            <w:tcBorders>
              <w:top w:val="single" w:sz="12" w:space="0" w:color="auto"/>
              <w:left w:val="nil"/>
              <w:bottom w:val="nil"/>
              <w:right w:val="dotted" w:sz="4" w:space="0" w:color="auto"/>
            </w:tcBorders>
          </w:tcPr>
          <w:p w:rsidR="00B707E6" w:rsidRDefault="00B707E6" w:rsidP="00B707E6">
            <w:pPr>
              <w:spacing w:line="360" w:lineRule="auto"/>
              <w:jc w:val="right"/>
              <w:rPr>
                <w:rFonts w:ascii="Times New Roman" w:hAnsi="Times New Roman" w:cs="Times New Roman"/>
                <w:sz w:val="24"/>
                <w:szCs w:val="24"/>
              </w:rPr>
            </w:pPr>
          </w:p>
        </w:tc>
      </w:tr>
      <w:tr w:rsidR="00B707E6" w:rsidTr="006F5783">
        <w:trPr>
          <w:trHeight w:val="438"/>
        </w:trPr>
        <w:tc>
          <w:tcPr>
            <w:tcW w:w="1951" w:type="dxa"/>
            <w:tcBorders>
              <w:top w:val="nil"/>
              <w:left w:val="nil"/>
              <w:bottom w:val="nil"/>
              <w:right w:val="nil"/>
            </w:tcBorders>
          </w:tcPr>
          <w:p w:rsidR="00B707E6" w:rsidRDefault="00B707E6" w:rsidP="008C0216">
            <w:pPr>
              <w:spacing w:line="360" w:lineRule="auto"/>
              <w:rPr>
                <w:rFonts w:ascii="Times New Roman" w:hAnsi="Times New Roman" w:cs="Times New Roman"/>
                <w:sz w:val="24"/>
                <w:szCs w:val="24"/>
              </w:rPr>
            </w:pPr>
          </w:p>
        </w:tc>
        <w:tc>
          <w:tcPr>
            <w:tcW w:w="1951" w:type="dxa"/>
            <w:tcBorders>
              <w:top w:val="nil"/>
              <w:left w:val="nil"/>
              <w:bottom w:val="nil"/>
              <w:right w:val="dotted" w:sz="4" w:space="0" w:color="auto"/>
            </w:tcBorders>
          </w:tcPr>
          <w:p w:rsidR="00B707E6" w:rsidRDefault="00B707E6" w:rsidP="00B707E6">
            <w:pPr>
              <w:spacing w:line="360" w:lineRule="auto"/>
              <w:jc w:val="right"/>
              <w:rPr>
                <w:rFonts w:ascii="Times New Roman" w:hAnsi="Times New Roman" w:cs="Times New Roman"/>
                <w:sz w:val="24"/>
                <w:szCs w:val="24"/>
              </w:rPr>
            </w:pPr>
          </w:p>
        </w:tc>
        <w:tc>
          <w:tcPr>
            <w:tcW w:w="1951" w:type="dxa"/>
            <w:tcBorders>
              <w:top w:val="nil"/>
              <w:left w:val="dotted" w:sz="4" w:space="0" w:color="auto"/>
              <w:bottom w:val="single" w:sz="12" w:space="0" w:color="auto"/>
              <w:right w:val="nil"/>
            </w:tcBorders>
          </w:tcPr>
          <w:p w:rsidR="00B707E6" w:rsidRDefault="00B707E6" w:rsidP="00B707E6">
            <w:pPr>
              <w:spacing w:line="276" w:lineRule="auto"/>
              <w:jc w:val="center"/>
              <w:rPr>
                <w:rFonts w:ascii="Times New Roman" w:hAnsi="Times New Roman" w:cs="Times New Roman"/>
                <w:sz w:val="24"/>
                <w:szCs w:val="24"/>
              </w:rPr>
            </w:pPr>
            <w:r>
              <w:rPr>
                <w:rFonts w:ascii="Times New Roman" w:hAnsi="Times New Roman" w:cs="Times New Roman"/>
                <w:sz w:val="24"/>
                <w:szCs w:val="24"/>
              </w:rPr>
              <w:t>Net Savings per year</w:t>
            </w:r>
          </w:p>
        </w:tc>
        <w:tc>
          <w:tcPr>
            <w:tcW w:w="1951" w:type="dxa"/>
            <w:tcBorders>
              <w:top w:val="nil"/>
              <w:left w:val="nil"/>
              <w:bottom w:val="single" w:sz="12" w:space="0" w:color="auto"/>
              <w:right w:val="dotted" w:sz="4" w:space="0" w:color="auto"/>
            </w:tcBorders>
          </w:tcPr>
          <w:p w:rsidR="00B707E6" w:rsidRDefault="00B707E6" w:rsidP="00B707E6">
            <w:pPr>
              <w:spacing w:line="360" w:lineRule="auto"/>
              <w:jc w:val="right"/>
              <w:rPr>
                <w:rFonts w:ascii="Times New Roman" w:hAnsi="Times New Roman" w:cs="Times New Roman"/>
                <w:sz w:val="24"/>
                <w:szCs w:val="24"/>
              </w:rPr>
            </w:pPr>
            <w:r>
              <w:rPr>
                <w:rFonts w:ascii="Times New Roman" w:hAnsi="Times New Roman" w:cs="Times New Roman"/>
                <w:sz w:val="24"/>
                <w:szCs w:val="24"/>
              </w:rPr>
              <w:t>$   24,114,528.00</w:t>
            </w:r>
          </w:p>
        </w:tc>
      </w:tr>
    </w:tbl>
    <w:p w:rsidR="00A30C65" w:rsidRDefault="00A30C65" w:rsidP="008C0216">
      <w:pPr>
        <w:spacing w:line="360" w:lineRule="auto"/>
        <w:rPr>
          <w:rFonts w:ascii="Times New Roman" w:hAnsi="Times New Roman" w:cs="Times New Roman"/>
          <w:sz w:val="24"/>
          <w:szCs w:val="24"/>
        </w:rPr>
      </w:pPr>
    </w:p>
    <w:p w:rsidR="00A30C65" w:rsidRDefault="00B707E6" w:rsidP="008C0216">
      <w:pPr>
        <w:spacing w:line="360" w:lineRule="auto"/>
        <w:rPr>
          <w:rFonts w:ascii="Times New Roman" w:hAnsi="Times New Roman" w:cs="Times New Roman"/>
          <w:sz w:val="24"/>
          <w:szCs w:val="24"/>
        </w:rPr>
      </w:pPr>
      <w:r>
        <w:rPr>
          <w:rFonts w:ascii="Times New Roman" w:hAnsi="Times New Roman" w:cs="Times New Roman"/>
          <w:sz w:val="24"/>
          <w:szCs w:val="24"/>
        </w:rPr>
        <w:t>Table 2: Cost and Benefit Analysis Over Three Years</w:t>
      </w:r>
    </w:p>
    <w:tbl>
      <w:tblPr>
        <w:tblStyle w:val="TableGrid"/>
        <w:tblW w:w="0" w:type="auto"/>
        <w:tblLook w:val="04A0"/>
      </w:tblPr>
      <w:tblGrid>
        <w:gridCol w:w="1548"/>
        <w:gridCol w:w="2250"/>
        <w:gridCol w:w="2430"/>
      </w:tblGrid>
      <w:tr w:rsidR="008D372C" w:rsidTr="008D372C">
        <w:tc>
          <w:tcPr>
            <w:tcW w:w="1548" w:type="dxa"/>
          </w:tcPr>
          <w:p w:rsidR="006F5783" w:rsidRDefault="006F5783" w:rsidP="008D372C">
            <w:pPr>
              <w:spacing w:line="360" w:lineRule="auto"/>
              <w:jc w:val="center"/>
              <w:rPr>
                <w:rFonts w:ascii="Times New Roman" w:hAnsi="Times New Roman" w:cs="Times New Roman"/>
                <w:sz w:val="24"/>
                <w:szCs w:val="24"/>
              </w:rPr>
            </w:pPr>
            <w:r>
              <w:rPr>
                <w:rFonts w:ascii="Times New Roman" w:hAnsi="Times New Roman" w:cs="Times New Roman"/>
                <w:sz w:val="24"/>
                <w:szCs w:val="24"/>
              </w:rPr>
              <w:t>Year</w:t>
            </w:r>
          </w:p>
        </w:tc>
        <w:tc>
          <w:tcPr>
            <w:tcW w:w="2250" w:type="dxa"/>
          </w:tcPr>
          <w:p w:rsidR="006F5783" w:rsidRDefault="006F5783" w:rsidP="008D372C">
            <w:pPr>
              <w:spacing w:line="360" w:lineRule="auto"/>
              <w:jc w:val="center"/>
              <w:rPr>
                <w:rFonts w:ascii="Times New Roman" w:hAnsi="Times New Roman" w:cs="Times New Roman"/>
                <w:sz w:val="24"/>
                <w:szCs w:val="24"/>
              </w:rPr>
            </w:pPr>
            <w:r>
              <w:rPr>
                <w:rFonts w:ascii="Times New Roman" w:hAnsi="Times New Roman" w:cs="Times New Roman"/>
                <w:sz w:val="24"/>
                <w:szCs w:val="24"/>
              </w:rPr>
              <w:t>Costs</w:t>
            </w:r>
          </w:p>
        </w:tc>
        <w:tc>
          <w:tcPr>
            <w:tcW w:w="2430" w:type="dxa"/>
          </w:tcPr>
          <w:p w:rsidR="006F5783" w:rsidRDefault="006F5783" w:rsidP="008D372C">
            <w:pPr>
              <w:spacing w:line="360" w:lineRule="auto"/>
              <w:jc w:val="center"/>
              <w:rPr>
                <w:rFonts w:ascii="Times New Roman" w:hAnsi="Times New Roman" w:cs="Times New Roman"/>
                <w:sz w:val="24"/>
                <w:szCs w:val="24"/>
              </w:rPr>
            </w:pPr>
            <w:r>
              <w:rPr>
                <w:rFonts w:ascii="Times New Roman" w:hAnsi="Times New Roman" w:cs="Times New Roman"/>
                <w:sz w:val="24"/>
                <w:szCs w:val="24"/>
              </w:rPr>
              <w:t>Benefits</w:t>
            </w:r>
          </w:p>
        </w:tc>
      </w:tr>
      <w:tr w:rsidR="006F5783" w:rsidTr="008D372C">
        <w:tc>
          <w:tcPr>
            <w:tcW w:w="1548" w:type="dxa"/>
          </w:tcPr>
          <w:p w:rsidR="006F5783" w:rsidRDefault="006F5783" w:rsidP="008C0216">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6F5783" w:rsidRDefault="006F5783" w:rsidP="006F5783">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C14D1">
              <w:rPr>
                <w:rFonts w:ascii="Times New Roman" w:hAnsi="Times New Roman" w:cs="Times New Roman"/>
                <w:sz w:val="24"/>
                <w:szCs w:val="24"/>
              </w:rPr>
              <w:t xml:space="preserve">    </w:t>
            </w:r>
            <w:r>
              <w:rPr>
                <w:rFonts w:ascii="Times New Roman" w:hAnsi="Times New Roman" w:cs="Times New Roman"/>
                <w:sz w:val="24"/>
                <w:szCs w:val="24"/>
              </w:rPr>
              <w:t xml:space="preserve"> (35,000,000.00)</w:t>
            </w:r>
          </w:p>
        </w:tc>
        <w:tc>
          <w:tcPr>
            <w:tcW w:w="2430" w:type="dxa"/>
          </w:tcPr>
          <w:p w:rsidR="006F5783" w:rsidRDefault="006F5783" w:rsidP="006F5783">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C14D1">
              <w:rPr>
                <w:rFonts w:ascii="Times New Roman" w:hAnsi="Times New Roman" w:cs="Times New Roman"/>
                <w:sz w:val="24"/>
                <w:szCs w:val="24"/>
              </w:rPr>
              <w:t xml:space="preserve">         </w:t>
            </w:r>
            <w:r>
              <w:rPr>
                <w:rFonts w:ascii="Times New Roman" w:hAnsi="Times New Roman" w:cs="Times New Roman"/>
                <w:sz w:val="24"/>
                <w:szCs w:val="24"/>
              </w:rPr>
              <w:t xml:space="preserve">                     0</w:t>
            </w:r>
          </w:p>
        </w:tc>
      </w:tr>
      <w:tr w:rsidR="006F5783" w:rsidTr="008D372C">
        <w:tc>
          <w:tcPr>
            <w:tcW w:w="1548" w:type="dxa"/>
          </w:tcPr>
          <w:p w:rsidR="006F5783" w:rsidRDefault="006F5783" w:rsidP="008C021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6F5783" w:rsidRDefault="006F5783" w:rsidP="006F5783">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C14D1">
              <w:rPr>
                <w:rFonts w:ascii="Times New Roman" w:hAnsi="Times New Roman" w:cs="Times New Roman"/>
                <w:sz w:val="24"/>
                <w:szCs w:val="24"/>
              </w:rPr>
              <w:t xml:space="preserve">   </w:t>
            </w:r>
            <w:r>
              <w:rPr>
                <w:rFonts w:ascii="Times New Roman" w:hAnsi="Times New Roman" w:cs="Times New Roman"/>
                <w:sz w:val="24"/>
                <w:szCs w:val="24"/>
              </w:rPr>
              <w:t xml:space="preserve">                     0</w:t>
            </w:r>
          </w:p>
        </w:tc>
        <w:tc>
          <w:tcPr>
            <w:tcW w:w="2430" w:type="dxa"/>
          </w:tcPr>
          <w:p w:rsidR="006F5783" w:rsidRDefault="006F5783" w:rsidP="006F5783">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C14D1">
              <w:rPr>
                <w:rFonts w:ascii="Times New Roman" w:hAnsi="Times New Roman" w:cs="Times New Roman"/>
                <w:sz w:val="24"/>
                <w:szCs w:val="24"/>
              </w:rPr>
              <w:t xml:space="preserve">         </w:t>
            </w:r>
            <w:r>
              <w:rPr>
                <w:rFonts w:ascii="Times New Roman" w:hAnsi="Times New Roman" w:cs="Times New Roman"/>
                <w:sz w:val="24"/>
                <w:szCs w:val="24"/>
              </w:rPr>
              <w:t>24,114,528.00</w:t>
            </w:r>
          </w:p>
        </w:tc>
      </w:tr>
      <w:tr w:rsidR="006F5783" w:rsidTr="008D372C">
        <w:tc>
          <w:tcPr>
            <w:tcW w:w="1548" w:type="dxa"/>
          </w:tcPr>
          <w:p w:rsidR="006F5783" w:rsidRDefault="006F5783" w:rsidP="008C021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6F5783" w:rsidRDefault="006F5783" w:rsidP="006F5783">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C14D1">
              <w:rPr>
                <w:rFonts w:ascii="Times New Roman" w:hAnsi="Times New Roman" w:cs="Times New Roman"/>
                <w:sz w:val="24"/>
                <w:szCs w:val="24"/>
              </w:rPr>
              <w:t xml:space="preserve">   </w:t>
            </w:r>
            <w:r>
              <w:rPr>
                <w:rFonts w:ascii="Times New Roman" w:hAnsi="Times New Roman" w:cs="Times New Roman"/>
                <w:sz w:val="24"/>
                <w:szCs w:val="24"/>
              </w:rPr>
              <w:t xml:space="preserve">                       0</w:t>
            </w:r>
          </w:p>
        </w:tc>
        <w:tc>
          <w:tcPr>
            <w:tcW w:w="2430" w:type="dxa"/>
          </w:tcPr>
          <w:p w:rsidR="006F5783" w:rsidRDefault="006F5783" w:rsidP="006F5783">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C14D1">
              <w:rPr>
                <w:rFonts w:ascii="Times New Roman" w:hAnsi="Times New Roman" w:cs="Times New Roman"/>
                <w:sz w:val="24"/>
                <w:szCs w:val="24"/>
              </w:rPr>
              <w:t xml:space="preserve">         </w:t>
            </w:r>
            <w:r>
              <w:rPr>
                <w:rFonts w:ascii="Times New Roman" w:hAnsi="Times New Roman" w:cs="Times New Roman"/>
                <w:sz w:val="24"/>
                <w:szCs w:val="24"/>
              </w:rPr>
              <w:t>24,114,528.00</w:t>
            </w:r>
          </w:p>
        </w:tc>
      </w:tr>
      <w:tr w:rsidR="008C14D1" w:rsidTr="00AB0683">
        <w:tc>
          <w:tcPr>
            <w:tcW w:w="1548" w:type="dxa"/>
            <w:tcBorders>
              <w:bottom w:val="single" w:sz="4" w:space="0" w:color="auto"/>
            </w:tcBorders>
          </w:tcPr>
          <w:p w:rsidR="006F5783" w:rsidRDefault="006F5783" w:rsidP="008C0216">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2250" w:type="dxa"/>
            <w:tcBorders>
              <w:bottom w:val="single" w:sz="4" w:space="0" w:color="auto"/>
            </w:tcBorders>
          </w:tcPr>
          <w:p w:rsidR="006F5783" w:rsidRDefault="006F5783" w:rsidP="008C14D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C14D1">
              <w:rPr>
                <w:rFonts w:ascii="Times New Roman" w:hAnsi="Times New Roman" w:cs="Times New Roman"/>
                <w:sz w:val="24"/>
                <w:szCs w:val="24"/>
              </w:rPr>
              <w:t xml:space="preserve">     </w:t>
            </w:r>
            <w:r>
              <w:rPr>
                <w:rFonts w:ascii="Times New Roman" w:hAnsi="Times New Roman" w:cs="Times New Roman"/>
                <w:sz w:val="24"/>
                <w:szCs w:val="24"/>
              </w:rPr>
              <w:t>(35,000,000.00)</w:t>
            </w:r>
          </w:p>
        </w:tc>
        <w:tc>
          <w:tcPr>
            <w:tcW w:w="2430" w:type="dxa"/>
            <w:tcBorders>
              <w:bottom w:val="single" w:sz="4" w:space="0" w:color="auto"/>
            </w:tcBorders>
          </w:tcPr>
          <w:p w:rsidR="006F5783" w:rsidRDefault="006F5783" w:rsidP="008C14D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C14D1">
              <w:rPr>
                <w:rFonts w:ascii="Times New Roman" w:hAnsi="Times New Roman" w:cs="Times New Roman"/>
                <w:sz w:val="24"/>
                <w:szCs w:val="24"/>
              </w:rPr>
              <w:t xml:space="preserve">          </w:t>
            </w:r>
            <w:r>
              <w:rPr>
                <w:rFonts w:ascii="Times New Roman" w:hAnsi="Times New Roman" w:cs="Times New Roman"/>
                <w:sz w:val="24"/>
                <w:szCs w:val="24"/>
              </w:rPr>
              <w:t>48,229,056.00</w:t>
            </w:r>
          </w:p>
        </w:tc>
      </w:tr>
      <w:tr w:rsidR="008C14D1" w:rsidTr="00AB0683">
        <w:tc>
          <w:tcPr>
            <w:tcW w:w="1548" w:type="dxa"/>
            <w:tcBorders>
              <w:left w:val="dotted" w:sz="4" w:space="0" w:color="auto"/>
              <w:right w:val="dotted" w:sz="4" w:space="0" w:color="auto"/>
            </w:tcBorders>
          </w:tcPr>
          <w:p w:rsidR="006F5783" w:rsidRDefault="006F5783" w:rsidP="008C0216">
            <w:pPr>
              <w:spacing w:line="360" w:lineRule="auto"/>
              <w:rPr>
                <w:rFonts w:ascii="Times New Roman" w:hAnsi="Times New Roman" w:cs="Times New Roman"/>
                <w:sz w:val="24"/>
                <w:szCs w:val="24"/>
              </w:rPr>
            </w:pPr>
          </w:p>
        </w:tc>
        <w:tc>
          <w:tcPr>
            <w:tcW w:w="2250" w:type="dxa"/>
            <w:tcBorders>
              <w:left w:val="dotted" w:sz="4" w:space="0" w:color="auto"/>
              <w:bottom w:val="single" w:sz="4" w:space="0" w:color="auto"/>
              <w:right w:val="dotted" w:sz="4" w:space="0" w:color="auto"/>
            </w:tcBorders>
          </w:tcPr>
          <w:p w:rsidR="006F5783" w:rsidRDefault="006F5783" w:rsidP="008C0216">
            <w:pPr>
              <w:spacing w:line="360" w:lineRule="auto"/>
              <w:rPr>
                <w:rFonts w:ascii="Times New Roman" w:hAnsi="Times New Roman" w:cs="Times New Roman"/>
                <w:sz w:val="24"/>
                <w:szCs w:val="24"/>
              </w:rPr>
            </w:pPr>
          </w:p>
        </w:tc>
        <w:tc>
          <w:tcPr>
            <w:tcW w:w="2430" w:type="dxa"/>
            <w:tcBorders>
              <w:left w:val="dotted" w:sz="4" w:space="0" w:color="auto"/>
              <w:bottom w:val="single" w:sz="4" w:space="0" w:color="auto"/>
              <w:right w:val="dotted" w:sz="4" w:space="0" w:color="auto"/>
            </w:tcBorders>
          </w:tcPr>
          <w:p w:rsidR="006F5783" w:rsidRDefault="006F5783" w:rsidP="008C0216">
            <w:pPr>
              <w:spacing w:line="360" w:lineRule="auto"/>
              <w:rPr>
                <w:rFonts w:ascii="Times New Roman" w:hAnsi="Times New Roman" w:cs="Times New Roman"/>
                <w:sz w:val="24"/>
                <w:szCs w:val="24"/>
              </w:rPr>
            </w:pPr>
          </w:p>
        </w:tc>
      </w:tr>
      <w:tr w:rsidR="008C14D1" w:rsidTr="008D372C">
        <w:tc>
          <w:tcPr>
            <w:tcW w:w="1548" w:type="dxa"/>
          </w:tcPr>
          <w:p w:rsidR="006F5783" w:rsidRDefault="006F5783" w:rsidP="008C14D1">
            <w:pPr>
              <w:spacing w:line="276" w:lineRule="auto"/>
              <w:rPr>
                <w:rFonts w:ascii="Times New Roman" w:hAnsi="Times New Roman" w:cs="Times New Roman"/>
                <w:sz w:val="24"/>
                <w:szCs w:val="24"/>
              </w:rPr>
            </w:pPr>
            <w:r>
              <w:rPr>
                <w:rFonts w:ascii="Times New Roman" w:hAnsi="Times New Roman" w:cs="Times New Roman"/>
                <w:sz w:val="24"/>
                <w:szCs w:val="24"/>
              </w:rPr>
              <w:t>Net Savings (3 years)</w:t>
            </w:r>
          </w:p>
        </w:tc>
        <w:tc>
          <w:tcPr>
            <w:tcW w:w="2250" w:type="dxa"/>
            <w:tcBorders>
              <w:right w:val="nil"/>
            </w:tcBorders>
          </w:tcPr>
          <w:p w:rsidR="006F5783" w:rsidRDefault="006F5783" w:rsidP="008C0216">
            <w:pPr>
              <w:spacing w:line="360" w:lineRule="auto"/>
              <w:rPr>
                <w:rFonts w:ascii="Times New Roman" w:hAnsi="Times New Roman" w:cs="Times New Roman"/>
                <w:sz w:val="24"/>
                <w:szCs w:val="24"/>
              </w:rPr>
            </w:pPr>
          </w:p>
        </w:tc>
        <w:tc>
          <w:tcPr>
            <w:tcW w:w="2430" w:type="dxa"/>
            <w:tcBorders>
              <w:left w:val="nil"/>
            </w:tcBorders>
          </w:tcPr>
          <w:p w:rsidR="006F5783" w:rsidRDefault="008C14D1" w:rsidP="008C14D1">
            <w:pPr>
              <w:spacing w:line="360" w:lineRule="auto"/>
              <w:jc w:val="right"/>
              <w:rPr>
                <w:rFonts w:ascii="Times New Roman" w:hAnsi="Times New Roman" w:cs="Times New Roman"/>
                <w:sz w:val="24"/>
                <w:szCs w:val="24"/>
              </w:rPr>
            </w:pPr>
            <w:r>
              <w:rPr>
                <w:rFonts w:ascii="Times New Roman" w:hAnsi="Times New Roman" w:cs="Times New Roman"/>
                <w:sz w:val="24"/>
                <w:szCs w:val="24"/>
              </w:rPr>
              <w:t>$    13,229,05.00</w:t>
            </w:r>
          </w:p>
        </w:tc>
      </w:tr>
      <w:tr w:rsidR="008C14D1" w:rsidTr="008D372C">
        <w:tc>
          <w:tcPr>
            <w:tcW w:w="1548" w:type="dxa"/>
          </w:tcPr>
          <w:p w:rsidR="008C14D1" w:rsidRDefault="008C14D1" w:rsidP="008C14D1">
            <w:pPr>
              <w:spacing w:line="276" w:lineRule="auto"/>
              <w:rPr>
                <w:rFonts w:ascii="Times New Roman" w:hAnsi="Times New Roman" w:cs="Times New Roman"/>
                <w:sz w:val="24"/>
                <w:szCs w:val="24"/>
              </w:rPr>
            </w:pPr>
            <w:r>
              <w:rPr>
                <w:rFonts w:ascii="Times New Roman" w:hAnsi="Times New Roman" w:cs="Times New Roman"/>
                <w:sz w:val="24"/>
                <w:szCs w:val="24"/>
              </w:rPr>
              <w:t>Return on Investment</w:t>
            </w:r>
          </w:p>
        </w:tc>
        <w:tc>
          <w:tcPr>
            <w:tcW w:w="4680" w:type="dxa"/>
            <w:gridSpan w:val="2"/>
          </w:tcPr>
          <w:p w:rsidR="008C14D1" w:rsidRDefault="008C14D1" w:rsidP="008C14D1">
            <w:pPr>
              <w:spacing w:line="360" w:lineRule="auto"/>
              <w:jc w:val="center"/>
              <w:rPr>
                <w:rFonts w:ascii="Times New Roman" w:hAnsi="Times New Roman" w:cs="Times New Roman"/>
                <w:sz w:val="24"/>
                <w:szCs w:val="24"/>
              </w:rPr>
            </w:pPr>
            <w:r>
              <w:rPr>
                <w:rFonts w:ascii="Times New Roman" w:hAnsi="Times New Roman" w:cs="Times New Roman"/>
                <w:sz w:val="24"/>
                <w:szCs w:val="24"/>
              </w:rPr>
              <w:t>(48,229,056 – 35,000,000) / 35,000,000 = .33</w:t>
            </w:r>
          </w:p>
        </w:tc>
      </w:tr>
    </w:tbl>
    <w:p w:rsidR="00A30C65" w:rsidRDefault="00A30C65" w:rsidP="008C0216">
      <w:pPr>
        <w:spacing w:line="360" w:lineRule="auto"/>
        <w:rPr>
          <w:rFonts w:ascii="Times New Roman" w:hAnsi="Times New Roman" w:cs="Times New Roman"/>
          <w:sz w:val="24"/>
          <w:szCs w:val="24"/>
        </w:rPr>
      </w:pPr>
    </w:p>
    <w:p w:rsidR="00A30C65" w:rsidRDefault="00A30C65" w:rsidP="008C0216">
      <w:pPr>
        <w:spacing w:line="360" w:lineRule="auto"/>
        <w:rPr>
          <w:rFonts w:ascii="Times New Roman" w:hAnsi="Times New Roman" w:cs="Times New Roman"/>
          <w:sz w:val="24"/>
          <w:szCs w:val="24"/>
        </w:rPr>
      </w:pPr>
    </w:p>
    <w:p w:rsidR="00A30C65" w:rsidRDefault="00A30C65" w:rsidP="008C0216">
      <w:pPr>
        <w:spacing w:line="360" w:lineRule="auto"/>
        <w:rPr>
          <w:rFonts w:ascii="Times New Roman" w:hAnsi="Times New Roman" w:cs="Times New Roman"/>
          <w:sz w:val="24"/>
          <w:szCs w:val="24"/>
        </w:rPr>
      </w:pPr>
    </w:p>
    <w:p w:rsidR="00A30C65" w:rsidRDefault="00A30C65" w:rsidP="008C0216">
      <w:pPr>
        <w:spacing w:line="360" w:lineRule="auto"/>
        <w:rPr>
          <w:rFonts w:ascii="Times New Roman" w:hAnsi="Times New Roman" w:cs="Times New Roman"/>
          <w:sz w:val="24"/>
          <w:szCs w:val="24"/>
        </w:rPr>
      </w:pPr>
    </w:p>
    <w:p w:rsidR="00A30C65" w:rsidRDefault="00A30C65" w:rsidP="008C0216">
      <w:pPr>
        <w:spacing w:line="360" w:lineRule="auto"/>
        <w:rPr>
          <w:rFonts w:ascii="Times New Roman" w:hAnsi="Times New Roman" w:cs="Times New Roman"/>
          <w:sz w:val="24"/>
          <w:szCs w:val="24"/>
        </w:rPr>
      </w:pPr>
    </w:p>
    <w:p w:rsidR="00A30C65" w:rsidRDefault="00A30C65" w:rsidP="008C0216">
      <w:pPr>
        <w:spacing w:line="360" w:lineRule="auto"/>
        <w:rPr>
          <w:rFonts w:ascii="Times New Roman" w:hAnsi="Times New Roman" w:cs="Times New Roman"/>
          <w:sz w:val="24"/>
          <w:szCs w:val="24"/>
        </w:rPr>
      </w:pPr>
    </w:p>
    <w:p w:rsidR="00A30C65" w:rsidRDefault="00A30C65" w:rsidP="008C0216">
      <w:pPr>
        <w:spacing w:line="360" w:lineRule="auto"/>
        <w:rPr>
          <w:rFonts w:ascii="Times New Roman" w:hAnsi="Times New Roman" w:cs="Times New Roman"/>
          <w:sz w:val="24"/>
          <w:szCs w:val="24"/>
        </w:rPr>
      </w:pPr>
    </w:p>
    <w:p w:rsidR="005218D6" w:rsidRDefault="005218D6" w:rsidP="008D372C">
      <w:pPr>
        <w:spacing w:line="360" w:lineRule="auto"/>
        <w:rPr>
          <w:rFonts w:ascii="Times New Roman" w:hAnsi="Times New Roman" w:cs="Times New Roman"/>
          <w:b/>
          <w:sz w:val="24"/>
          <w:szCs w:val="24"/>
        </w:rPr>
      </w:pPr>
    </w:p>
    <w:p w:rsidR="00360E39" w:rsidRPr="003A36CC" w:rsidRDefault="00946AD1" w:rsidP="003A36CC">
      <w:pPr>
        <w:spacing w:line="360" w:lineRule="auto"/>
        <w:jc w:val="center"/>
        <w:rPr>
          <w:rFonts w:ascii="Times New Roman" w:hAnsi="Times New Roman" w:cs="Times New Roman"/>
          <w:b/>
          <w:sz w:val="24"/>
          <w:szCs w:val="24"/>
        </w:rPr>
      </w:pPr>
      <w:r w:rsidRPr="003A36CC">
        <w:rPr>
          <w:rFonts w:ascii="Times New Roman" w:hAnsi="Times New Roman" w:cs="Times New Roman"/>
          <w:b/>
          <w:sz w:val="24"/>
          <w:szCs w:val="24"/>
        </w:rPr>
        <w:lastRenderedPageBreak/>
        <w:t>References</w:t>
      </w:r>
    </w:p>
    <w:p w:rsidR="003A36CC" w:rsidRPr="008D372C" w:rsidRDefault="003A36CC" w:rsidP="008D372C">
      <w:pPr>
        <w:spacing w:line="360" w:lineRule="auto"/>
        <w:rPr>
          <w:rFonts w:ascii="Times New Roman" w:hAnsi="Times New Roman" w:cs="Times New Roman"/>
          <w:sz w:val="24"/>
          <w:szCs w:val="24"/>
        </w:rPr>
      </w:pPr>
      <w:proofErr w:type="gramStart"/>
      <w:r w:rsidRPr="008D372C">
        <w:rPr>
          <w:rFonts w:ascii="Times New Roman" w:hAnsi="Times New Roman" w:cs="Times New Roman"/>
          <w:sz w:val="24"/>
          <w:szCs w:val="24"/>
        </w:rPr>
        <w:t>“</w:t>
      </w:r>
      <w:r w:rsidR="00946AD1" w:rsidRPr="008D372C">
        <w:rPr>
          <w:rFonts w:ascii="Times New Roman" w:hAnsi="Times New Roman" w:cs="Times New Roman"/>
          <w:sz w:val="24"/>
          <w:szCs w:val="24"/>
        </w:rPr>
        <w:t>Data Center Site Infrastructure Tier Standard – Topology."</w:t>
      </w:r>
      <w:proofErr w:type="gramEnd"/>
      <w:r w:rsidR="00946AD1" w:rsidRPr="008D372C">
        <w:rPr>
          <w:rFonts w:ascii="Times New Roman" w:hAnsi="Times New Roman" w:cs="Times New Roman"/>
          <w:sz w:val="24"/>
          <w:szCs w:val="24"/>
        </w:rPr>
        <w:t xml:space="preserve"> Uptime Institute, LLC, 2000. </w:t>
      </w:r>
      <w:proofErr w:type="gramStart"/>
      <w:r w:rsidR="00946AD1" w:rsidRPr="008D372C">
        <w:rPr>
          <w:rFonts w:ascii="Times New Roman" w:hAnsi="Times New Roman" w:cs="Times New Roman"/>
          <w:sz w:val="24"/>
          <w:szCs w:val="24"/>
        </w:rPr>
        <w:t>Web.</w:t>
      </w:r>
      <w:proofErr w:type="gramEnd"/>
      <w:r w:rsidR="00946AD1" w:rsidRPr="008D372C">
        <w:rPr>
          <w:rFonts w:ascii="Times New Roman" w:hAnsi="Times New Roman" w:cs="Times New Roman"/>
          <w:sz w:val="24"/>
          <w:szCs w:val="24"/>
        </w:rPr>
        <w:t xml:space="preserve"> </w:t>
      </w:r>
    </w:p>
    <w:p w:rsidR="00946AD1" w:rsidRPr="003A36CC" w:rsidRDefault="008D372C" w:rsidP="003A36CC">
      <w:pPr>
        <w:pStyle w:val="ListParagraph"/>
        <w:spacing w:line="360" w:lineRule="auto"/>
        <w:rPr>
          <w:rFonts w:ascii="Times New Roman" w:hAnsi="Times New Roman" w:cs="Times New Roman"/>
          <w:sz w:val="24"/>
          <w:szCs w:val="24"/>
        </w:rPr>
      </w:pPr>
      <w:r>
        <w:t>&lt;</w:t>
      </w:r>
      <w:hyperlink r:id="rId7" w:history="1">
        <w:r w:rsidR="003A36CC" w:rsidRPr="003A36CC">
          <w:rPr>
            <w:rStyle w:val="Hyperlink"/>
            <w:rFonts w:ascii="Times New Roman" w:hAnsi="Times New Roman" w:cs="Times New Roman"/>
            <w:sz w:val="24"/>
            <w:szCs w:val="24"/>
          </w:rPr>
          <w:t>http://community.mis.temple.edu/mis2501sec001f13/files/2013/08/Data-Center-Site-Infrastructure-Tier-Standar-Topology.pdf</w:t>
        </w:r>
      </w:hyperlink>
      <w:r>
        <w:t>&gt;</w:t>
      </w:r>
    </w:p>
    <w:p w:rsidR="003A36CC" w:rsidRPr="008D372C" w:rsidRDefault="003A36CC" w:rsidP="008D372C">
      <w:pPr>
        <w:spacing w:line="360" w:lineRule="auto"/>
        <w:rPr>
          <w:rFonts w:ascii="Times New Roman" w:hAnsi="Times New Roman" w:cs="Times New Roman"/>
          <w:sz w:val="24"/>
          <w:szCs w:val="24"/>
        </w:rPr>
      </w:pPr>
      <w:proofErr w:type="spellStart"/>
      <w:r w:rsidRPr="008D372C">
        <w:rPr>
          <w:rFonts w:ascii="Times New Roman" w:hAnsi="Times New Roman" w:cs="Times New Roman"/>
          <w:sz w:val="24"/>
          <w:szCs w:val="24"/>
        </w:rPr>
        <w:t>Cappuccio</w:t>
      </w:r>
      <w:proofErr w:type="spellEnd"/>
      <w:r w:rsidRPr="008D372C">
        <w:rPr>
          <w:rFonts w:ascii="Times New Roman" w:hAnsi="Times New Roman" w:cs="Times New Roman"/>
          <w:sz w:val="24"/>
          <w:szCs w:val="24"/>
        </w:rPr>
        <w:t>, David J. "Ensure Cost Balances Out With Risk in High-Availability Data Centers."</w:t>
      </w:r>
      <w:r w:rsidR="00DF2FB6">
        <w:rPr>
          <w:rFonts w:ascii="Times New Roman" w:hAnsi="Times New Roman" w:cs="Times New Roman"/>
          <w:sz w:val="24"/>
          <w:szCs w:val="24"/>
        </w:rPr>
        <w:tab/>
      </w:r>
      <w:r w:rsidR="00DF2FB6">
        <w:rPr>
          <w:rFonts w:ascii="Times New Roman" w:hAnsi="Times New Roman" w:cs="Times New Roman"/>
          <w:sz w:val="24"/>
          <w:szCs w:val="24"/>
        </w:rPr>
        <w:tab/>
      </w:r>
      <w:r w:rsidRPr="008D372C">
        <w:rPr>
          <w:rFonts w:ascii="Times New Roman" w:hAnsi="Times New Roman" w:cs="Times New Roman"/>
          <w:sz w:val="24"/>
          <w:szCs w:val="24"/>
        </w:rPr>
        <w:t xml:space="preserve"> </w:t>
      </w:r>
      <w:r w:rsidRPr="008D372C">
        <w:rPr>
          <w:rFonts w:ascii="Times New Roman" w:hAnsi="Times New Roman" w:cs="Times New Roman"/>
          <w:i/>
          <w:iCs/>
          <w:sz w:val="24"/>
          <w:szCs w:val="24"/>
        </w:rPr>
        <w:t>Gartner.com</w:t>
      </w:r>
      <w:r w:rsidRPr="008D372C">
        <w:rPr>
          <w:rFonts w:ascii="Times New Roman" w:hAnsi="Times New Roman" w:cs="Times New Roman"/>
          <w:sz w:val="24"/>
          <w:szCs w:val="24"/>
        </w:rPr>
        <w:t xml:space="preserve">. Garner, 11 Feb. 2013. </w:t>
      </w:r>
      <w:proofErr w:type="gramStart"/>
      <w:r w:rsidRPr="008D372C">
        <w:rPr>
          <w:rFonts w:ascii="Times New Roman" w:hAnsi="Times New Roman" w:cs="Times New Roman"/>
          <w:sz w:val="24"/>
          <w:szCs w:val="24"/>
        </w:rPr>
        <w:t>Web.</w:t>
      </w:r>
      <w:proofErr w:type="gramEnd"/>
      <w:r w:rsidRPr="008D372C">
        <w:rPr>
          <w:rFonts w:ascii="Times New Roman" w:hAnsi="Times New Roman" w:cs="Times New Roman"/>
          <w:sz w:val="24"/>
          <w:szCs w:val="24"/>
        </w:rPr>
        <w:t xml:space="preserve"> 9 Sept. 2013. </w:t>
      </w:r>
    </w:p>
    <w:p w:rsidR="003A36CC" w:rsidRPr="003A36CC" w:rsidRDefault="008D372C" w:rsidP="003A36CC">
      <w:pPr>
        <w:pStyle w:val="ListParagraph"/>
        <w:spacing w:line="360" w:lineRule="auto"/>
        <w:rPr>
          <w:rFonts w:ascii="Times New Roman" w:hAnsi="Times New Roman" w:cs="Times New Roman"/>
          <w:sz w:val="24"/>
          <w:szCs w:val="24"/>
        </w:rPr>
      </w:pPr>
      <w:r>
        <w:t>&lt;</w:t>
      </w:r>
      <w:hyperlink r:id="rId8" w:history="1">
        <w:r w:rsidR="003A36CC" w:rsidRPr="007768DB">
          <w:rPr>
            <w:rStyle w:val="Hyperlink"/>
            <w:rFonts w:ascii="Times New Roman" w:hAnsi="Times New Roman" w:cs="Times New Roman"/>
            <w:sz w:val="24"/>
            <w:szCs w:val="24"/>
          </w:rPr>
          <w:t>http://my.gartner.com/portal/server.pt?open=512&amp;objID=260&amp;mode=2&amp;PageID=3460702&amp;resId=2333115&amp;ref=QuickSearch&amp;sthkw=data+center+infrastructure+tier+standards</w:t>
        </w:r>
      </w:hyperlink>
      <w:r>
        <w:t>&gt;</w:t>
      </w:r>
    </w:p>
    <w:p w:rsidR="003A36CC" w:rsidRPr="008D372C" w:rsidRDefault="003A36CC" w:rsidP="008D372C">
      <w:pPr>
        <w:spacing w:line="360" w:lineRule="auto"/>
        <w:rPr>
          <w:rFonts w:ascii="Times New Roman" w:hAnsi="Times New Roman" w:cs="Times New Roman"/>
        </w:rPr>
      </w:pPr>
      <w:r w:rsidRPr="008D372C">
        <w:rPr>
          <w:rFonts w:ascii="Times New Roman" w:hAnsi="Times New Roman" w:cs="Times New Roman"/>
          <w:sz w:val="24"/>
          <w:szCs w:val="24"/>
        </w:rPr>
        <w:t xml:space="preserve">Explain: Tier 1 / Tier 2 / Tier 3 / Tier 4 Data Center." </w:t>
      </w:r>
      <w:r w:rsidRPr="008D372C">
        <w:rPr>
          <w:rFonts w:ascii="Times New Roman" w:hAnsi="Times New Roman" w:cs="Times New Roman"/>
          <w:i/>
          <w:iCs/>
          <w:sz w:val="24"/>
          <w:szCs w:val="24"/>
        </w:rPr>
        <w:t xml:space="preserve">Frequently Asked Questions </w:t>
      </w:r>
      <w:proofErr w:type="gramStart"/>
      <w:r w:rsidRPr="008D372C">
        <w:rPr>
          <w:rFonts w:ascii="Times New Roman" w:hAnsi="Times New Roman" w:cs="Times New Roman"/>
          <w:i/>
          <w:iCs/>
          <w:sz w:val="24"/>
          <w:szCs w:val="24"/>
        </w:rPr>
        <w:t>About</w:t>
      </w:r>
      <w:proofErr w:type="gramEnd"/>
      <w:r w:rsidRPr="008D372C">
        <w:rPr>
          <w:rFonts w:ascii="Times New Roman" w:hAnsi="Times New Roman" w:cs="Times New Roman"/>
          <w:i/>
          <w:iCs/>
          <w:sz w:val="24"/>
          <w:szCs w:val="24"/>
        </w:rPr>
        <w:t xml:space="preserve"> Linux </w:t>
      </w:r>
      <w:r w:rsidR="00DF2FB6">
        <w:rPr>
          <w:rFonts w:ascii="Times New Roman" w:hAnsi="Times New Roman" w:cs="Times New Roman"/>
          <w:i/>
          <w:iCs/>
          <w:sz w:val="24"/>
          <w:szCs w:val="24"/>
        </w:rPr>
        <w:tab/>
      </w:r>
      <w:r w:rsidRPr="008D372C">
        <w:rPr>
          <w:rFonts w:ascii="Times New Roman" w:hAnsi="Times New Roman" w:cs="Times New Roman"/>
          <w:i/>
          <w:iCs/>
          <w:sz w:val="24"/>
          <w:szCs w:val="24"/>
        </w:rPr>
        <w:t>UNIX RSS</w:t>
      </w:r>
      <w:r w:rsidRPr="008D372C">
        <w:rPr>
          <w:rFonts w:ascii="Times New Roman" w:hAnsi="Times New Roman" w:cs="Times New Roman"/>
          <w:sz w:val="24"/>
          <w:szCs w:val="24"/>
        </w:rPr>
        <w:t xml:space="preserve">. </w:t>
      </w:r>
      <w:proofErr w:type="spellStart"/>
      <w:r w:rsidRPr="008D372C">
        <w:rPr>
          <w:rFonts w:ascii="Times New Roman" w:hAnsi="Times New Roman" w:cs="Times New Roman"/>
          <w:sz w:val="24"/>
          <w:szCs w:val="24"/>
        </w:rPr>
        <w:t>Nixcraft</w:t>
      </w:r>
      <w:proofErr w:type="spellEnd"/>
      <w:r w:rsidRPr="008D372C">
        <w:rPr>
          <w:rFonts w:ascii="Times New Roman" w:hAnsi="Times New Roman" w:cs="Times New Roman"/>
          <w:sz w:val="24"/>
          <w:szCs w:val="24"/>
        </w:rPr>
        <w:t xml:space="preserve">, 29 Jan. 2011. </w:t>
      </w:r>
      <w:proofErr w:type="gramStart"/>
      <w:r w:rsidRPr="008D372C">
        <w:rPr>
          <w:rFonts w:ascii="Times New Roman" w:hAnsi="Times New Roman" w:cs="Times New Roman"/>
          <w:sz w:val="24"/>
          <w:szCs w:val="24"/>
        </w:rPr>
        <w:t>Web.</w:t>
      </w:r>
      <w:proofErr w:type="gramEnd"/>
      <w:r w:rsidRPr="008D372C">
        <w:rPr>
          <w:rFonts w:ascii="Times New Roman" w:hAnsi="Times New Roman" w:cs="Times New Roman"/>
          <w:sz w:val="24"/>
          <w:szCs w:val="24"/>
        </w:rPr>
        <w:t xml:space="preserve"> 9 Sept. 2013. </w:t>
      </w:r>
    </w:p>
    <w:p w:rsidR="003A36CC" w:rsidRPr="003A36CC" w:rsidRDefault="008D372C" w:rsidP="003A36CC">
      <w:pPr>
        <w:pStyle w:val="ListParagraph"/>
        <w:spacing w:line="360" w:lineRule="auto"/>
        <w:rPr>
          <w:rFonts w:ascii="Times New Roman" w:hAnsi="Times New Roman" w:cs="Times New Roman"/>
        </w:rPr>
      </w:pPr>
      <w:r>
        <w:t>&lt;</w:t>
      </w:r>
      <w:hyperlink r:id="rId9" w:history="1">
        <w:r w:rsidR="003A36CC" w:rsidRPr="007768DB">
          <w:rPr>
            <w:rStyle w:val="Hyperlink"/>
            <w:rFonts w:ascii="Times New Roman" w:hAnsi="Times New Roman" w:cs="Times New Roman"/>
          </w:rPr>
          <w:t>http://www.cyberciti.biz/faq/data-center-standard-overview/</w:t>
        </w:r>
      </w:hyperlink>
      <w:r>
        <w:t>&gt;</w:t>
      </w:r>
    </w:p>
    <w:sectPr w:rsidR="003A36CC" w:rsidRPr="003A36CC" w:rsidSect="003D1117">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22" w:rsidRDefault="00821B22" w:rsidP="00821B22">
      <w:pPr>
        <w:spacing w:after="0" w:line="240" w:lineRule="auto"/>
      </w:pPr>
      <w:r>
        <w:separator/>
      </w:r>
    </w:p>
  </w:endnote>
  <w:endnote w:type="continuationSeparator" w:id="0">
    <w:p w:rsidR="00821B22" w:rsidRDefault="00821B22" w:rsidP="00821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22" w:rsidRDefault="00821B22" w:rsidP="00821B22">
      <w:pPr>
        <w:spacing w:after="0" w:line="240" w:lineRule="auto"/>
      </w:pPr>
      <w:r>
        <w:separator/>
      </w:r>
    </w:p>
  </w:footnote>
  <w:footnote w:type="continuationSeparator" w:id="0">
    <w:p w:rsidR="00821B22" w:rsidRDefault="00821B22" w:rsidP="00821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22" w:rsidRPr="00821B22" w:rsidRDefault="00821B22">
    <w:pPr>
      <w:pStyle w:val="Header"/>
      <w:rPr>
        <w:rFonts w:ascii="Times New Roman" w:hAnsi="Times New Roman" w:cs="Times New Roman"/>
        <w:sz w:val="24"/>
        <w:szCs w:val="24"/>
      </w:rPr>
    </w:pPr>
    <w:r>
      <w:rPr>
        <w:rFonts w:ascii="Times New Roman" w:hAnsi="Times New Roman" w:cs="Times New Roman"/>
        <w:sz w:val="24"/>
        <w:szCs w:val="24"/>
      </w:rPr>
      <w:t>John Illuminati</w:t>
    </w:r>
    <w:r w:rsidRPr="00821B22">
      <w:rPr>
        <w:rFonts w:ascii="Times New Roman" w:hAnsi="Times New Roman" w:cs="Times New Roman"/>
        <w:sz w:val="24"/>
        <w:szCs w:val="24"/>
      </w:rPr>
      <w:ptab w:relativeTo="margin" w:alignment="center" w:leader="none"/>
    </w:r>
    <w:r w:rsidRPr="00821B22">
      <w:rPr>
        <w:rFonts w:ascii="Times New Roman" w:hAnsi="Times New Roman" w:cs="Times New Roman"/>
        <w:sz w:val="24"/>
        <w:szCs w:val="24"/>
      </w:rPr>
      <w:ptab w:relativeTo="margin" w:alignment="right" w:leader="none"/>
    </w:r>
    <w:r>
      <w:rPr>
        <w:rFonts w:ascii="Times New Roman" w:hAnsi="Times New Roman" w:cs="Times New Roman"/>
        <w:sz w:val="24"/>
        <w:szCs w:val="24"/>
      </w:rPr>
      <w:t>MIS 2501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300A"/>
    <w:multiLevelType w:val="hybridMultilevel"/>
    <w:tmpl w:val="2742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BE6133"/>
    <w:multiLevelType w:val="hybridMultilevel"/>
    <w:tmpl w:val="6030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821B22"/>
    <w:rsid w:val="00005B48"/>
    <w:rsid w:val="00160E6B"/>
    <w:rsid w:val="00163F0F"/>
    <w:rsid w:val="00170906"/>
    <w:rsid w:val="001B769D"/>
    <w:rsid w:val="00291B64"/>
    <w:rsid w:val="002C49E6"/>
    <w:rsid w:val="00360E39"/>
    <w:rsid w:val="003A36CC"/>
    <w:rsid w:val="003D1117"/>
    <w:rsid w:val="0045714F"/>
    <w:rsid w:val="004D280E"/>
    <w:rsid w:val="004F1C9D"/>
    <w:rsid w:val="005218D6"/>
    <w:rsid w:val="00630337"/>
    <w:rsid w:val="006C5928"/>
    <w:rsid w:val="006E0F27"/>
    <w:rsid w:val="006F5783"/>
    <w:rsid w:val="00821B22"/>
    <w:rsid w:val="008C0216"/>
    <w:rsid w:val="008C14D1"/>
    <w:rsid w:val="008D372C"/>
    <w:rsid w:val="008D3ADF"/>
    <w:rsid w:val="00946AD1"/>
    <w:rsid w:val="00A30C65"/>
    <w:rsid w:val="00AB0683"/>
    <w:rsid w:val="00B14BA4"/>
    <w:rsid w:val="00B707E6"/>
    <w:rsid w:val="00BC0D22"/>
    <w:rsid w:val="00C3353C"/>
    <w:rsid w:val="00C7100A"/>
    <w:rsid w:val="00CA3C38"/>
    <w:rsid w:val="00D338FB"/>
    <w:rsid w:val="00D34CF0"/>
    <w:rsid w:val="00DF2FB6"/>
    <w:rsid w:val="00E62474"/>
    <w:rsid w:val="00E83644"/>
    <w:rsid w:val="00FF147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1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B22"/>
  </w:style>
  <w:style w:type="paragraph" w:styleId="Footer">
    <w:name w:val="footer"/>
    <w:basedOn w:val="Normal"/>
    <w:link w:val="FooterChar"/>
    <w:uiPriority w:val="99"/>
    <w:semiHidden/>
    <w:unhideWhenUsed/>
    <w:rsid w:val="00821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B22"/>
  </w:style>
  <w:style w:type="paragraph" w:styleId="BalloonText">
    <w:name w:val="Balloon Text"/>
    <w:basedOn w:val="Normal"/>
    <w:link w:val="BalloonTextChar"/>
    <w:uiPriority w:val="99"/>
    <w:semiHidden/>
    <w:unhideWhenUsed/>
    <w:rsid w:val="00821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22"/>
    <w:rPr>
      <w:rFonts w:ascii="Tahoma" w:hAnsi="Tahoma" w:cs="Tahoma"/>
      <w:sz w:val="16"/>
      <w:szCs w:val="16"/>
    </w:rPr>
  </w:style>
  <w:style w:type="paragraph" w:styleId="ListParagraph">
    <w:name w:val="List Paragraph"/>
    <w:basedOn w:val="Normal"/>
    <w:uiPriority w:val="34"/>
    <w:qFormat/>
    <w:rsid w:val="00946AD1"/>
    <w:pPr>
      <w:ind w:left="720"/>
      <w:contextualSpacing/>
    </w:pPr>
  </w:style>
  <w:style w:type="character" w:styleId="Hyperlink">
    <w:name w:val="Hyperlink"/>
    <w:basedOn w:val="DefaultParagraphFont"/>
    <w:uiPriority w:val="99"/>
    <w:unhideWhenUsed/>
    <w:rsid w:val="00946AD1"/>
    <w:rPr>
      <w:color w:val="0000FF" w:themeColor="hyperlink"/>
      <w:u w:val="single"/>
    </w:rPr>
  </w:style>
  <w:style w:type="table" w:styleId="TableGrid">
    <w:name w:val="Table Grid"/>
    <w:basedOn w:val="TableNormal"/>
    <w:uiPriority w:val="59"/>
    <w:rsid w:val="00B70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gartner.com/portal/server.pt?open=512&amp;objID=260&amp;mode=2&amp;PageID=3460702&amp;resId=2333115&amp;ref=QuickSearch&amp;sthkw=data+center+infrastructure+tier+standards" TargetMode="External"/><Relationship Id="rId3" Type="http://schemas.openxmlformats.org/officeDocument/2006/relationships/settings" Target="settings.xml"/><Relationship Id="rId7" Type="http://schemas.openxmlformats.org/officeDocument/2006/relationships/hyperlink" Target="http://community.mis.temple.edu/mis2501sec001f13/files/2013/08/Data-Center-Site-Infrastructure-Tier-Standar-Topolog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yberciti.biz/faq/data-center-standard-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11</cp:revision>
  <dcterms:created xsi:type="dcterms:W3CDTF">2013-10-02T22:28:00Z</dcterms:created>
  <dcterms:modified xsi:type="dcterms:W3CDTF">2013-10-03T04:28:00Z</dcterms:modified>
</cp:coreProperties>
</file>