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D70" w:rsidRDefault="00F34D70" w:rsidP="00DA4ADE">
      <w:pPr>
        <w:contextualSpacing/>
      </w:pPr>
      <w:r>
        <w:t>Jennifer Kucherovsky</w:t>
      </w:r>
    </w:p>
    <w:p w:rsidR="00F34D70" w:rsidRDefault="00F34D70" w:rsidP="00DA4ADE">
      <w:pPr>
        <w:contextualSpacing/>
      </w:pPr>
      <w:r>
        <w:t>MIS 2501</w:t>
      </w:r>
    </w:p>
    <w:p w:rsidR="00F34D70" w:rsidRDefault="00DA4ADE" w:rsidP="00DA4ADE">
      <w:pPr>
        <w:contextualSpacing/>
      </w:pPr>
      <w:r>
        <w:t>3 April 2018</w:t>
      </w:r>
    </w:p>
    <w:p w:rsidR="00367335" w:rsidRDefault="00367335" w:rsidP="00DA4ADE">
      <w:pPr>
        <w:contextualSpacing/>
      </w:pPr>
    </w:p>
    <w:p w:rsidR="00F34D70" w:rsidRDefault="00F34D70" w:rsidP="00F34D70">
      <w:pPr>
        <w:spacing w:line="480" w:lineRule="auto"/>
        <w:contextualSpacing/>
        <w:jc w:val="center"/>
      </w:pPr>
      <w:r>
        <w:t xml:space="preserve">Flash Research Assignment: SharePoint </w:t>
      </w:r>
    </w:p>
    <w:p w:rsidR="00101AC2" w:rsidRDefault="0069107B" w:rsidP="00F34D70">
      <w:pPr>
        <w:spacing w:line="480" w:lineRule="auto"/>
        <w:ind w:firstLine="720"/>
        <w:contextualSpacing/>
      </w:pPr>
      <w:r>
        <w:t>B</w:t>
      </w:r>
      <w:r w:rsidR="00101AC2">
        <w:t xml:space="preserve">y using SharePoint for document management and editing, the company will see a net benefit of $1.85 million over three years. </w:t>
      </w:r>
      <w:r w:rsidR="009A046E">
        <w:t xml:space="preserve">SharePoint will make document collaboration more productive and efficient and allow PMPs to spend more time focusing on clients. </w:t>
      </w:r>
    </w:p>
    <w:p w:rsidR="00A95CB2" w:rsidRDefault="00C14C0F" w:rsidP="00101AC2">
      <w:pPr>
        <w:spacing w:line="480" w:lineRule="auto"/>
        <w:ind w:firstLine="720"/>
        <w:contextualSpacing/>
      </w:pPr>
      <w:r>
        <w:t>Microsoft Sh</w:t>
      </w:r>
      <w:r w:rsidR="004F2D5D">
        <w:t>areP</w:t>
      </w:r>
      <w:r>
        <w:t xml:space="preserve">oint is a web-based collaboration tool, mainly used as a document management and storage system. SharePoint’s key feature is that it allows employees to easily share, edit, and manage multiple documents. This makes working with company documents simpler and more efficient. </w:t>
      </w:r>
      <w:r w:rsidR="004F2D5D">
        <w:t xml:space="preserve">By reducing the hours wasted trying to manage documents, PMPs can spend more time with clients and increase billable time by 400 hours. </w:t>
      </w:r>
    </w:p>
    <w:p w:rsidR="004F2D5D" w:rsidRDefault="004F2D5D" w:rsidP="00C14C0F">
      <w:pPr>
        <w:spacing w:line="480" w:lineRule="auto"/>
        <w:contextualSpacing/>
      </w:pPr>
      <w:r>
        <w:tab/>
      </w:r>
      <w:r w:rsidR="00135E94">
        <w:t xml:space="preserve">Over three years, </w:t>
      </w:r>
      <w:r w:rsidR="007F40EA">
        <w:t xml:space="preserve">implementing SharePoint </w:t>
      </w:r>
      <w:r w:rsidR="00135E94">
        <w:t>will cost</w:t>
      </w:r>
      <w:r w:rsidR="007F40EA">
        <w:t xml:space="preserve"> </w:t>
      </w:r>
      <w:r w:rsidR="00135E94">
        <w:t>$253,750 in hardware, maintenance, and opportunity cost</w:t>
      </w:r>
      <w:r w:rsidR="007F40EA">
        <w:t>s</w:t>
      </w:r>
      <w:r w:rsidR="00135E94">
        <w:t xml:space="preserve">. </w:t>
      </w:r>
      <w:r w:rsidR="007F40EA">
        <w:t>With improved document management efficiency, t</w:t>
      </w:r>
      <w:r w:rsidR="000A2F06">
        <w:t xml:space="preserve">he total benefit of this investment over three years will be </w:t>
      </w:r>
      <w:r w:rsidR="000C3031">
        <w:t xml:space="preserve">$2 million. For three years, this yields a net benefit of $1.85 million. </w:t>
      </w:r>
    </w:p>
    <w:p w:rsidR="00DA4ADE" w:rsidRDefault="00DA4ADE" w:rsidP="00C14C0F">
      <w:pPr>
        <w:spacing w:line="480" w:lineRule="auto"/>
        <w:contextualSpacing/>
      </w:pPr>
    </w:p>
    <w:p w:rsidR="00DA4ADE" w:rsidRDefault="00DA4ADE" w:rsidP="00C14C0F">
      <w:pPr>
        <w:spacing w:line="480" w:lineRule="auto"/>
        <w:contextualSpacing/>
      </w:pPr>
    </w:p>
    <w:p w:rsidR="00DA4ADE" w:rsidRDefault="00DA4ADE" w:rsidP="00C14C0F">
      <w:pPr>
        <w:spacing w:line="480" w:lineRule="auto"/>
        <w:contextualSpacing/>
      </w:pPr>
    </w:p>
    <w:p w:rsidR="00DA4ADE" w:rsidRDefault="00DA4ADE" w:rsidP="00C14C0F">
      <w:pPr>
        <w:spacing w:line="480" w:lineRule="auto"/>
        <w:contextualSpacing/>
      </w:pPr>
    </w:p>
    <w:p w:rsidR="00DA4ADE" w:rsidRDefault="00DA4ADE" w:rsidP="00C14C0F">
      <w:pPr>
        <w:spacing w:line="480" w:lineRule="auto"/>
        <w:contextualSpacing/>
      </w:pPr>
    </w:p>
    <w:p w:rsidR="00DA4ADE" w:rsidRDefault="00DA4ADE" w:rsidP="00C14C0F">
      <w:pPr>
        <w:spacing w:line="480" w:lineRule="auto"/>
        <w:contextualSpacing/>
      </w:pPr>
    </w:p>
    <w:p w:rsidR="00DA4ADE" w:rsidRDefault="00DA4ADE" w:rsidP="00DA4ADE"/>
    <w:p w:rsidR="00371E46" w:rsidRDefault="00371E46" w:rsidP="00DA4ADE">
      <w:pPr>
        <w:rPr>
          <w:rFonts w:ascii="Times New Roman" w:eastAsia="Times New Roman" w:hAnsi="Times New Roman" w:cs="Times New Roman"/>
          <w:i/>
          <w:iCs/>
          <w:color w:val="333333"/>
          <w:shd w:val="clear" w:color="auto" w:fill="FFFFFF"/>
        </w:rPr>
      </w:pPr>
      <w:bookmarkStart w:id="0" w:name="_GoBack"/>
      <w:bookmarkEnd w:id="0"/>
    </w:p>
    <w:p w:rsidR="00DA4ADE" w:rsidRPr="00DA4ADE" w:rsidRDefault="00DA4ADE" w:rsidP="00DA4ADE">
      <w:pPr>
        <w:jc w:val="center"/>
        <w:rPr>
          <w:rFonts w:eastAsia="Times New Roman" w:cstheme="minorHAnsi"/>
          <w:iCs/>
          <w:color w:val="333333"/>
          <w:shd w:val="clear" w:color="auto" w:fill="FFFFFF"/>
        </w:rPr>
      </w:pPr>
      <w:r w:rsidRPr="00DA4ADE">
        <w:rPr>
          <w:rFonts w:eastAsia="Times New Roman" w:cstheme="minorHAnsi"/>
          <w:iCs/>
          <w:color w:val="333333"/>
          <w:shd w:val="clear" w:color="auto" w:fill="FFFFFF"/>
        </w:rPr>
        <w:lastRenderedPageBreak/>
        <w:t>Works Cited</w:t>
      </w:r>
    </w:p>
    <w:p w:rsidR="00DA4ADE" w:rsidRPr="00DA4ADE" w:rsidRDefault="00DA4ADE" w:rsidP="00DA4ADE">
      <w:pPr>
        <w:jc w:val="center"/>
        <w:rPr>
          <w:rFonts w:eastAsia="Times New Roman" w:cstheme="minorHAnsi"/>
          <w:iCs/>
          <w:color w:val="333333"/>
          <w:shd w:val="clear" w:color="auto" w:fill="FFFFFF"/>
        </w:rPr>
      </w:pPr>
    </w:p>
    <w:p w:rsidR="00DA4ADE" w:rsidRPr="00DA4ADE" w:rsidRDefault="00DA4ADE" w:rsidP="00DA4ADE">
      <w:pPr>
        <w:rPr>
          <w:rFonts w:eastAsia="Times New Roman" w:cstheme="minorHAnsi"/>
          <w:color w:val="333333"/>
          <w:shd w:val="clear" w:color="auto" w:fill="FFFFFF"/>
        </w:rPr>
      </w:pPr>
      <w:r w:rsidRPr="00DA4ADE">
        <w:rPr>
          <w:rFonts w:eastAsia="Times New Roman" w:cstheme="minorHAnsi"/>
          <w:i/>
          <w:iCs/>
          <w:color w:val="333333"/>
          <w:shd w:val="clear" w:color="auto" w:fill="FFFFFF"/>
        </w:rPr>
        <w:t>Content Management Features</w:t>
      </w:r>
      <w:r w:rsidRPr="00DA4ADE">
        <w:rPr>
          <w:rFonts w:eastAsia="Times New Roman" w:cstheme="minorHAnsi"/>
          <w:color w:val="333333"/>
          <w:shd w:val="clear" w:color="auto" w:fill="FFFFFF"/>
        </w:rPr>
        <w:t>, msdn.microsoft.com/en-us/library/office/aa980965(v=office.12).aspx.</w:t>
      </w:r>
    </w:p>
    <w:p w:rsidR="00DA4ADE" w:rsidRPr="00DA4ADE" w:rsidRDefault="00DA4ADE" w:rsidP="00DA4ADE">
      <w:pPr>
        <w:rPr>
          <w:rFonts w:eastAsia="Times New Roman" w:cstheme="minorHAnsi"/>
          <w:color w:val="333333"/>
          <w:shd w:val="clear" w:color="auto" w:fill="FFFFFF"/>
        </w:rPr>
      </w:pPr>
    </w:p>
    <w:p w:rsidR="00DA4ADE" w:rsidRPr="00DA4ADE" w:rsidRDefault="00DA4ADE" w:rsidP="00DA4ADE">
      <w:pPr>
        <w:rPr>
          <w:rFonts w:eastAsia="Times New Roman" w:cstheme="minorHAnsi"/>
        </w:rPr>
      </w:pPr>
      <w:r w:rsidRPr="00DA4ADE">
        <w:rPr>
          <w:rFonts w:eastAsia="Times New Roman" w:cstheme="minorHAnsi"/>
          <w:color w:val="333333"/>
          <w:shd w:val="clear" w:color="auto" w:fill="FFFFFF"/>
        </w:rPr>
        <w:t>“SharePoint Online.” </w:t>
      </w:r>
      <w:r w:rsidRPr="00DA4ADE">
        <w:rPr>
          <w:rFonts w:eastAsia="Times New Roman" w:cstheme="minorHAnsi"/>
          <w:i/>
          <w:iCs/>
          <w:color w:val="333333"/>
          <w:shd w:val="clear" w:color="auto" w:fill="FFFFFF"/>
        </w:rPr>
        <w:t>SharePoint Online – Collaboration Software</w:t>
      </w:r>
      <w:r w:rsidRPr="00DA4ADE">
        <w:rPr>
          <w:rFonts w:eastAsia="Times New Roman" w:cstheme="minorHAnsi"/>
          <w:color w:val="333333"/>
          <w:shd w:val="clear" w:color="auto" w:fill="FFFFFF"/>
        </w:rPr>
        <w:t>, products.office.com/en-us/sharepoint/sharepoint-online-collaboration-software.</w:t>
      </w:r>
    </w:p>
    <w:p w:rsidR="00DA4ADE" w:rsidRPr="00DA4ADE" w:rsidRDefault="00DA4ADE" w:rsidP="00DA4ADE">
      <w:pPr>
        <w:rPr>
          <w:rFonts w:eastAsia="Times New Roman" w:cstheme="minorHAnsi"/>
        </w:rPr>
      </w:pPr>
    </w:p>
    <w:p w:rsidR="00DA4ADE" w:rsidRPr="00DA4ADE" w:rsidRDefault="00DA4ADE" w:rsidP="00DA4ADE">
      <w:pPr>
        <w:rPr>
          <w:rFonts w:eastAsia="Times New Roman" w:cstheme="minorHAnsi"/>
          <w:color w:val="333333"/>
          <w:shd w:val="clear" w:color="auto" w:fill="FFFFFF"/>
        </w:rPr>
      </w:pPr>
      <w:r w:rsidRPr="00DA4ADE">
        <w:rPr>
          <w:rFonts w:eastAsia="Times New Roman" w:cstheme="minorHAnsi"/>
          <w:color w:val="333333"/>
          <w:shd w:val="clear" w:color="auto" w:fill="FFFFFF"/>
        </w:rPr>
        <w:t>“What Is SharePoint?” </w:t>
      </w:r>
      <w:r w:rsidRPr="00DA4ADE">
        <w:rPr>
          <w:rFonts w:eastAsia="Times New Roman" w:cstheme="minorHAnsi"/>
          <w:i/>
          <w:iCs/>
          <w:color w:val="333333"/>
          <w:shd w:val="clear" w:color="auto" w:fill="FFFFFF"/>
        </w:rPr>
        <w:t>Office Support</w:t>
      </w:r>
      <w:r w:rsidRPr="00DA4ADE">
        <w:rPr>
          <w:rFonts w:eastAsia="Times New Roman" w:cstheme="minorHAnsi"/>
          <w:color w:val="333333"/>
          <w:shd w:val="clear" w:color="auto" w:fill="FFFFFF"/>
        </w:rPr>
        <w:t>, support.office.com/en-us/article/what-is-sharepoint-97b915e6-651b-43b2-827d-fb25777f446f.</w:t>
      </w:r>
    </w:p>
    <w:p w:rsidR="00DA4ADE" w:rsidRDefault="00DA4ADE" w:rsidP="00C14C0F">
      <w:pPr>
        <w:spacing w:line="480" w:lineRule="auto"/>
        <w:contextualSpacing/>
      </w:pPr>
    </w:p>
    <w:p w:rsidR="00DA4ADE" w:rsidRDefault="00DA4ADE" w:rsidP="00C14C0F">
      <w:pPr>
        <w:spacing w:line="480" w:lineRule="auto"/>
        <w:contextualSpacing/>
      </w:pPr>
    </w:p>
    <w:tbl>
      <w:tblPr>
        <w:tblW w:w="10500" w:type="dxa"/>
        <w:tblInd w:w="-108" w:type="dxa"/>
        <w:tblBorders>
          <w:top w:val="nil"/>
          <w:left w:val="nil"/>
          <w:right w:val="nil"/>
        </w:tblBorders>
        <w:tblLayout w:type="fixed"/>
        <w:tblLook w:val="0000" w:firstRow="0" w:lastRow="0" w:firstColumn="0" w:lastColumn="0" w:noHBand="0" w:noVBand="0"/>
      </w:tblPr>
      <w:tblGrid>
        <w:gridCol w:w="2834"/>
        <w:gridCol w:w="1998"/>
        <w:gridCol w:w="1835"/>
        <w:gridCol w:w="1835"/>
        <w:gridCol w:w="1998"/>
      </w:tblGrid>
      <w:tr w:rsidR="00DA4ADE" w:rsidRPr="00DA4ADE" w:rsidTr="00DA4ADE">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Current Revenue</w:t>
            </w: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Year 1</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2</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3</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Total</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1 PMP</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262,500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262,500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262,500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787,500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10 PMPs</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2,625,000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$ 2,625,000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$ 2,625,000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7,875,000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SharePoint Revenue</w:t>
            </w: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Year 1</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2</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3</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Total</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1 PMP</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332,500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332,500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332,500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997,500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9 PMP</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2,992,500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$ 2,992,500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$ 2,992,500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8,977,500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1 Expert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299,250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299,250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299,250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897,750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Total</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3,291,750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$ 3,291,750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$ 3,291,750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9,875,250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SharePoint Cost</w:t>
            </w: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Year 1</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2</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3</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Total</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Hardware cost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100,000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100,000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Maintenance cost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18,000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18,000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18,000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54,000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Total</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118,000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18,000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18,000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154,000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Opportunity Cost</w:t>
            </w: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Year 1</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2</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Year 3</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Total</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1 Expert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33,250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33,250 </w:t>
            </w:r>
          </w:p>
        </w:tc>
        <w:tc>
          <w:tcPr>
            <w:tcW w:w="1835"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33,250 </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99,750 </w:t>
            </w: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Total Cost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253,750 </w:t>
            </w: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blPrEx>
          <w:tblBorders>
            <w:top w:val="none" w:sz="0" w:space="0" w:color="auto"/>
          </w:tblBorders>
        </w:tblPrEx>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Total Benefit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2,000,250 </w:t>
            </w: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r w:rsidR="00DA4ADE" w:rsidRPr="00DA4ADE" w:rsidTr="00DA4ADE">
        <w:tc>
          <w:tcPr>
            <w:tcW w:w="2834" w:type="dxa"/>
            <w:vAlign w:val="bottom"/>
          </w:tcPr>
          <w:p w:rsidR="00DA4ADE" w:rsidRPr="00DA4ADE" w:rsidRDefault="00DA4ADE" w:rsidP="00DA4ADE">
            <w:pPr>
              <w:rPr>
                <w:rFonts w:cstheme="minorHAnsi"/>
                <w:sz w:val="22"/>
                <w:szCs w:val="22"/>
              </w:rPr>
            </w:pPr>
            <w:r w:rsidRPr="00DA4ADE">
              <w:rPr>
                <w:rFonts w:cstheme="minorHAnsi"/>
                <w:sz w:val="22"/>
                <w:szCs w:val="22"/>
              </w:rPr>
              <w:t>Net Benefit</w:t>
            </w:r>
          </w:p>
        </w:tc>
        <w:tc>
          <w:tcPr>
            <w:tcW w:w="1998" w:type="dxa"/>
            <w:vAlign w:val="bottom"/>
          </w:tcPr>
          <w:p w:rsidR="00DA4ADE" w:rsidRPr="00DA4ADE" w:rsidRDefault="00DA4ADE" w:rsidP="00DA4ADE">
            <w:pPr>
              <w:rPr>
                <w:rFonts w:cstheme="minorHAnsi"/>
                <w:sz w:val="22"/>
                <w:szCs w:val="22"/>
              </w:rPr>
            </w:pPr>
            <w:r w:rsidRPr="00DA4ADE">
              <w:rPr>
                <w:rFonts w:cstheme="minorHAnsi"/>
                <w:sz w:val="22"/>
                <w:szCs w:val="22"/>
              </w:rPr>
              <w:t xml:space="preserve"> $   1,846,250 </w:t>
            </w:r>
          </w:p>
        </w:tc>
        <w:tc>
          <w:tcPr>
            <w:tcW w:w="1835" w:type="dxa"/>
            <w:vAlign w:val="bottom"/>
          </w:tcPr>
          <w:p w:rsidR="00DA4ADE" w:rsidRPr="00DA4ADE" w:rsidRDefault="00DA4ADE" w:rsidP="00DA4ADE">
            <w:pPr>
              <w:rPr>
                <w:rFonts w:cstheme="minorHAnsi"/>
                <w:sz w:val="22"/>
                <w:szCs w:val="22"/>
              </w:rPr>
            </w:pPr>
          </w:p>
        </w:tc>
        <w:tc>
          <w:tcPr>
            <w:tcW w:w="1835" w:type="dxa"/>
            <w:vAlign w:val="bottom"/>
          </w:tcPr>
          <w:p w:rsidR="00DA4ADE" w:rsidRPr="00DA4ADE" w:rsidRDefault="00DA4ADE" w:rsidP="00DA4ADE">
            <w:pPr>
              <w:rPr>
                <w:rFonts w:cstheme="minorHAnsi"/>
                <w:sz w:val="22"/>
                <w:szCs w:val="22"/>
              </w:rPr>
            </w:pPr>
          </w:p>
        </w:tc>
        <w:tc>
          <w:tcPr>
            <w:tcW w:w="1998" w:type="dxa"/>
            <w:vAlign w:val="bottom"/>
          </w:tcPr>
          <w:p w:rsidR="00DA4ADE" w:rsidRPr="00DA4ADE" w:rsidRDefault="00DA4ADE" w:rsidP="00DA4ADE">
            <w:pPr>
              <w:rPr>
                <w:rFonts w:cstheme="minorHAnsi"/>
                <w:sz w:val="22"/>
                <w:szCs w:val="22"/>
              </w:rPr>
            </w:pPr>
          </w:p>
        </w:tc>
      </w:tr>
    </w:tbl>
    <w:p w:rsidR="00DA4ADE" w:rsidRDefault="00DA4ADE" w:rsidP="00C14C0F">
      <w:pPr>
        <w:spacing w:line="480" w:lineRule="auto"/>
        <w:contextualSpacing/>
      </w:pPr>
    </w:p>
    <w:sectPr w:rsidR="00DA4ADE" w:rsidSect="00B5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0F"/>
    <w:rsid w:val="000A2F06"/>
    <w:rsid w:val="000C3031"/>
    <w:rsid w:val="00101AC2"/>
    <w:rsid w:val="00135E94"/>
    <w:rsid w:val="0020746B"/>
    <w:rsid w:val="00367335"/>
    <w:rsid w:val="00371E46"/>
    <w:rsid w:val="004F2D5D"/>
    <w:rsid w:val="0069107B"/>
    <w:rsid w:val="007F40EA"/>
    <w:rsid w:val="009A046E"/>
    <w:rsid w:val="00B52F72"/>
    <w:rsid w:val="00C14C0F"/>
    <w:rsid w:val="00DA4ADE"/>
    <w:rsid w:val="00F3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65BC5"/>
  <w15:chartTrackingRefBased/>
  <w15:docId w15:val="{7477CF1E-B3C6-9E45-B350-E910AE25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89727">
      <w:bodyDiv w:val="1"/>
      <w:marLeft w:val="0"/>
      <w:marRight w:val="0"/>
      <w:marTop w:val="0"/>
      <w:marBottom w:val="0"/>
      <w:divBdr>
        <w:top w:val="none" w:sz="0" w:space="0" w:color="auto"/>
        <w:left w:val="none" w:sz="0" w:space="0" w:color="auto"/>
        <w:bottom w:val="none" w:sz="0" w:space="0" w:color="auto"/>
        <w:right w:val="none" w:sz="0" w:space="0" w:color="auto"/>
      </w:divBdr>
    </w:div>
    <w:div w:id="1287850808">
      <w:bodyDiv w:val="1"/>
      <w:marLeft w:val="0"/>
      <w:marRight w:val="0"/>
      <w:marTop w:val="0"/>
      <w:marBottom w:val="0"/>
      <w:divBdr>
        <w:top w:val="none" w:sz="0" w:space="0" w:color="auto"/>
        <w:left w:val="none" w:sz="0" w:space="0" w:color="auto"/>
        <w:bottom w:val="none" w:sz="0" w:space="0" w:color="auto"/>
        <w:right w:val="none" w:sz="0" w:space="0" w:color="auto"/>
      </w:divBdr>
    </w:div>
    <w:div w:id="17503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Kucherovsky</dc:creator>
  <cp:keywords/>
  <dc:description/>
  <cp:lastModifiedBy>Jennifer B Kucherovsky</cp:lastModifiedBy>
  <cp:revision>10</cp:revision>
  <dcterms:created xsi:type="dcterms:W3CDTF">2018-04-02T23:58:00Z</dcterms:created>
  <dcterms:modified xsi:type="dcterms:W3CDTF">2018-04-26T13:34:00Z</dcterms:modified>
</cp:coreProperties>
</file>