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76" w:rsidRPr="00BA643E" w:rsidRDefault="00D54D5E" w:rsidP="00D54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3E">
        <w:rPr>
          <w:rFonts w:ascii="Times New Roman" w:hAnsi="Times New Roman" w:cs="Times New Roman"/>
          <w:b/>
          <w:sz w:val="24"/>
          <w:szCs w:val="24"/>
        </w:rPr>
        <w:t>Virtualization</w:t>
      </w:r>
    </w:p>
    <w:p w:rsidR="00F7113A" w:rsidRPr="00BA643E" w:rsidRDefault="00D54D5E" w:rsidP="00D54D5E">
      <w:pPr>
        <w:rPr>
          <w:rFonts w:ascii="Times New Roman" w:hAnsi="Times New Roman" w:cs="Times New Roman"/>
          <w:sz w:val="24"/>
          <w:szCs w:val="24"/>
        </w:rPr>
      </w:pPr>
      <w:r w:rsidRPr="00BA643E">
        <w:rPr>
          <w:rFonts w:ascii="Times New Roman" w:hAnsi="Times New Roman" w:cs="Times New Roman"/>
          <w:sz w:val="24"/>
          <w:szCs w:val="24"/>
        </w:rPr>
        <w:tab/>
        <w:t xml:space="preserve">Our company </w:t>
      </w:r>
      <w:r w:rsidR="003F78D0">
        <w:rPr>
          <w:rFonts w:ascii="Times New Roman" w:hAnsi="Times New Roman" w:cs="Times New Roman"/>
          <w:sz w:val="24"/>
          <w:szCs w:val="24"/>
        </w:rPr>
        <w:t>should</w:t>
      </w:r>
      <w:r w:rsidR="001F52A4" w:rsidRPr="00BA643E">
        <w:rPr>
          <w:rFonts w:ascii="Times New Roman" w:hAnsi="Times New Roman" w:cs="Times New Roman"/>
          <w:sz w:val="24"/>
          <w:szCs w:val="24"/>
        </w:rPr>
        <w:t xml:space="preserve"> </w:t>
      </w:r>
      <w:r w:rsidR="003F78D0">
        <w:rPr>
          <w:rFonts w:ascii="Times New Roman" w:hAnsi="Times New Roman" w:cs="Times New Roman"/>
          <w:sz w:val="24"/>
          <w:szCs w:val="24"/>
        </w:rPr>
        <w:t>utilize VMware</w:t>
      </w:r>
      <w:r w:rsidR="00F7113A" w:rsidRPr="00BA643E">
        <w:rPr>
          <w:rFonts w:ascii="Times New Roman" w:hAnsi="Times New Roman" w:cs="Times New Roman"/>
          <w:sz w:val="24"/>
          <w:szCs w:val="24"/>
        </w:rPr>
        <w:t xml:space="preserve"> virtualization</w:t>
      </w:r>
      <w:r w:rsidR="003F78D0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F7113A" w:rsidRPr="00BA643E">
        <w:rPr>
          <w:rFonts w:ascii="Times New Roman" w:hAnsi="Times New Roman" w:cs="Times New Roman"/>
          <w:sz w:val="24"/>
          <w:szCs w:val="24"/>
        </w:rPr>
        <w:t xml:space="preserve"> to consolidate server workloads.</w:t>
      </w:r>
      <w:r w:rsidR="001F52A4" w:rsidRPr="00BA643E">
        <w:rPr>
          <w:rFonts w:ascii="Times New Roman" w:hAnsi="Times New Roman" w:cs="Times New Roman"/>
          <w:sz w:val="24"/>
          <w:szCs w:val="24"/>
        </w:rPr>
        <w:t xml:space="preserve"> </w:t>
      </w:r>
      <w:r w:rsidR="003F78D0">
        <w:rPr>
          <w:rFonts w:ascii="Times New Roman" w:hAnsi="Times New Roman" w:cs="Times New Roman"/>
          <w:sz w:val="24"/>
          <w:szCs w:val="24"/>
        </w:rPr>
        <w:t>Through virtualizations a</w:t>
      </w:r>
      <w:r w:rsidR="001F52A4" w:rsidRPr="00BA643E">
        <w:rPr>
          <w:rFonts w:ascii="Times New Roman" w:hAnsi="Times New Roman" w:cs="Times New Roman"/>
          <w:sz w:val="24"/>
          <w:szCs w:val="24"/>
        </w:rPr>
        <w:t xml:space="preserve">pproximately </w:t>
      </w:r>
      <w:r w:rsidR="00F7113A" w:rsidRPr="00BA643E">
        <w:rPr>
          <w:rFonts w:ascii="Times New Roman" w:hAnsi="Times New Roman" w:cs="Times New Roman"/>
          <w:sz w:val="24"/>
          <w:szCs w:val="24"/>
        </w:rPr>
        <w:t xml:space="preserve">1000 servers can consolidate 10 physical servers onto a single virtual machine server. </w:t>
      </w:r>
      <w:r w:rsidR="001F52A4" w:rsidRPr="00BA643E">
        <w:rPr>
          <w:rFonts w:ascii="Times New Roman" w:hAnsi="Times New Roman" w:cs="Times New Roman"/>
          <w:sz w:val="24"/>
          <w:szCs w:val="24"/>
        </w:rPr>
        <w:t>By v</w:t>
      </w:r>
      <w:r w:rsidR="003F78D0">
        <w:rPr>
          <w:rFonts w:ascii="Times New Roman" w:hAnsi="Times New Roman" w:cs="Times New Roman"/>
          <w:sz w:val="24"/>
          <w:szCs w:val="24"/>
        </w:rPr>
        <w:t>irtualizing</w:t>
      </w:r>
      <w:r w:rsidR="00F7113A" w:rsidRPr="00BA643E">
        <w:rPr>
          <w:rFonts w:ascii="Times New Roman" w:hAnsi="Times New Roman" w:cs="Times New Roman"/>
          <w:sz w:val="24"/>
          <w:szCs w:val="24"/>
        </w:rPr>
        <w:t xml:space="preserve"> the server with multiple operating sys</w:t>
      </w:r>
      <w:r w:rsidR="001F52A4" w:rsidRPr="00BA643E">
        <w:rPr>
          <w:rFonts w:ascii="Times New Roman" w:hAnsi="Times New Roman" w:cs="Times New Roman"/>
          <w:sz w:val="24"/>
          <w:szCs w:val="24"/>
        </w:rPr>
        <w:t>tem</w:t>
      </w:r>
      <w:r w:rsidR="0020451D" w:rsidRPr="00BA643E">
        <w:rPr>
          <w:rFonts w:ascii="Times New Roman" w:hAnsi="Times New Roman" w:cs="Times New Roman"/>
          <w:sz w:val="24"/>
          <w:szCs w:val="24"/>
        </w:rPr>
        <w:t>s</w:t>
      </w:r>
      <w:r w:rsidR="003F78D0">
        <w:rPr>
          <w:rFonts w:ascii="Times New Roman" w:hAnsi="Times New Roman" w:cs="Times New Roman"/>
          <w:sz w:val="24"/>
          <w:szCs w:val="24"/>
        </w:rPr>
        <w:t xml:space="preserve">, </w:t>
      </w:r>
      <w:r w:rsidR="001F52A4" w:rsidRPr="00BA643E">
        <w:rPr>
          <w:rFonts w:ascii="Times New Roman" w:hAnsi="Times New Roman" w:cs="Times New Roman"/>
          <w:sz w:val="24"/>
          <w:szCs w:val="24"/>
        </w:rPr>
        <w:t xml:space="preserve">work availability will improve </w:t>
      </w:r>
      <w:r w:rsidR="003F78D0">
        <w:rPr>
          <w:rFonts w:ascii="Times New Roman" w:hAnsi="Times New Roman" w:cs="Times New Roman"/>
          <w:sz w:val="24"/>
          <w:szCs w:val="24"/>
        </w:rPr>
        <w:t xml:space="preserve">and </w:t>
      </w:r>
      <w:r w:rsidR="008B0800">
        <w:rPr>
          <w:rFonts w:ascii="Times New Roman" w:hAnsi="Times New Roman" w:cs="Times New Roman"/>
          <w:sz w:val="24"/>
          <w:szCs w:val="24"/>
        </w:rPr>
        <w:t xml:space="preserve">have </w:t>
      </w:r>
      <w:r w:rsidR="001F52A4" w:rsidRPr="00BA643E">
        <w:rPr>
          <w:rFonts w:ascii="Times New Roman" w:hAnsi="Times New Roman" w:cs="Times New Roman"/>
          <w:sz w:val="24"/>
          <w:szCs w:val="24"/>
        </w:rPr>
        <w:t>3 years net benefit of $</w:t>
      </w:r>
      <w:r w:rsidR="006510CF">
        <w:rPr>
          <w:rFonts w:ascii="Times New Roman" w:hAnsi="Times New Roman" w:cs="Times New Roman"/>
          <w:sz w:val="24"/>
          <w:szCs w:val="24"/>
        </w:rPr>
        <w:t>9,200,000</w:t>
      </w:r>
      <w:r w:rsidR="001F52A4" w:rsidRPr="00BA6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07E" w:rsidRDefault="001F52A4" w:rsidP="00D54D5E">
      <w:pPr>
        <w:rPr>
          <w:rFonts w:ascii="Times New Roman" w:hAnsi="Times New Roman" w:cs="Times New Roman"/>
          <w:sz w:val="24"/>
          <w:szCs w:val="24"/>
        </w:rPr>
      </w:pPr>
      <w:r w:rsidRPr="00BA643E">
        <w:rPr>
          <w:rFonts w:ascii="Times New Roman" w:hAnsi="Times New Roman" w:cs="Times New Roman"/>
          <w:sz w:val="24"/>
          <w:szCs w:val="24"/>
        </w:rPr>
        <w:tab/>
      </w:r>
      <w:r w:rsidR="006510CF">
        <w:rPr>
          <w:rFonts w:ascii="Times New Roman" w:hAnsi="Times New Roman" w:cs="Times New Roman"/>
          <w:sz w:val="24"/>
          <w:szCs w:val="24"/>
        </w:rPr>
        <w:t>V</w:t>
      </w:r>
      <w:r w:rsidR="00D542AF">
        <w:rPr>
          <w:rFonts w:ascii="Times New Roman" w:hAnsi="Times New Roman" w:cs="Times New Roman"/>
          <w:sz w:val="24"/>
          <w:szCs w:val="24"/>
        </w:rPr>
        <w:t>irtualization makes</w:t>
      </w:r>
      <w:r w:rsidR="00930310" w:rsidRPr="00BA643E">
        <w:rPr>
          <w:rFonts w:ascii="Times New Roman" w:hAnsi="Times New Roman" w:cs="Times New Roman"/>
          <w:sz w:val="24"/>
          <w:szCs w:val="24"/>
        </w:rPr>
        <w:t xml:space="preserve"> 80% of our servers</w:t>
      </w:r>
      <w:r w:rsidR="00D542AF">
        <w:rPr>
          <w:rFonts w:ascii="Times New Roman" w:hAnsi="Times New Roman" w:cs="Times New Roman"/>
          <w:sz w:val="24"/>
          <w:szCs w:val="24"/>
        </w:rPr>
        <w:t xml:space="preserve"> able to</w:t>
      </w:r>
      <w:r w:rsidR="000A7B07" w:rsidRPr="00BA643E">
        <w:rPr>
          <w:rFonts w:ascii="Times New Roman" w:hAnsi="Times New Roman" w:cs="Times New Roman"/>
          <w:sz w:val="24"/>
          <w:szCs w:val="24"/>
        </w:rPr>
        <w:t xml:space="preserve"> consolidate 10 physical servers onto a single virtual machine server. </w:t>
      </w:r>
      <w:r w:rsidR="001B2B2D">
        <w:rPr>
          <w:rFonts w:ascii="Times New Roman" w:hAnsi="Times New Roman" w:cs="Times New Roman"/>
          <w:sz w:val="24"/>
          <w:szCs w:val="24"/>
        </w:rPr>
        <w:t xml:space="preserve">800 physical servers run through 80 virtual machine servers. </w:t>
      </w:r>
      <w:r w:rsidR="006510CF">
        <w:rPr>
          <w:rFonts w:ascii="Times New Roman" w:hAnsi="Times New Roman" w:cs="Times New Roman"/>
          <w:sz w:val="24"/>
          <w:szCs w:val="24"/>
        </w:rPr>
        <w:t xml:space="preserve">And 200 physical servers remains in operation system. </w:t>
      </w:r>
      <w:r w:rsidR="000A7B07" w:rsidRPr="00BA643E">
        <w:rPr>
          <w:rFonts w:ascii="Times New Roman" w:hAnsi="Times New Roman" w:cs="Times New Roman"/>
          <w:sz w:val="24"/>
          <w:szCs w:val="24"/>
        </w:rPr>
        <w:t>Reducing of machine server</w:t>
      </w:r>
      <w:r w:rsidR="001B2B2D">
        <w:rPr>
          <w:rFonts w:ascii="Times New Roman" w:hAnsi="Times New Roman" w:cs="Times New Roman"/>
          <w:sz w:val="24"/>
          <w:szCs w:val="24"/>
        </w:rPr>
        <w:t>s indicates that virtualization can increase efficiency and agility</w:t>
      </w:r>
      <w:r w:rsidR="002E117E" w:rsidRPr="00BA643E">
        <w:rPr>
          <w:rFonts w:ascii="Times New Roman" w:hAnsi="Times New Roman" w:cs="Times New Roman"/>
          <w:sz w:val="24"/>
          <w:szCs w:val="24"/>
        </w:rPr>
        <w:t xml:space="preserve"> for</w:t>
      </w:r>
      <w:r w:rsidR="001B2B2D">
        <w:rPr>
          <w:rFonts w:ascii="Times New Roman" w:hAnsi="Times New Roman" w:cs="Times New Roman"/>
          <w:sz w:val="24"/>
          <w:szCs w:val="24"/>
        </w:rPr>
        <w:t xml:space="preserve"> a </w:t>
      </w:r>
      <w:r w:rsidR="002E117E" w:rsidRPr="00BA643E">
        <w:rPr>
          <w:rFonts w:ascii="Times New Roman" w:hAnsi="Times New Roman" w:cs="Times New Roman"/>
          <w:sz w:val="24"/>
          <w:szCs w:val="24"/>
        </w:rPr>
        <w:t xml:space="preserve">rapidly growing manufacturing company (VMware). </w:t>
      </w:r>
      <w:r w:rsidR="001B2B2D">
        <w:rPr>
          <w:rFonts w:ascii="Times New Roman" w:hAnsi="Times New Roman" w:cs="Times New Roman"/>
          <w:sz w:val="24"/>
          <w:szCs w:val="24"/>
        </w:rPr>
        <w:t>Virtualization allows for the main operating system and the</w:t>
      </w:r>
      <w:r w:rsidR="0020451D" w:rsidRPr="00BA643E">
        <w:rPr>
          <w:rFonts w:ascii="Times New Roman" w:hAnsi="Times New Roman" w:cs="Times New Roman"/>
          <w:sz w:val="24"/>
          <w:szCs w:val="24"/>
        </w:rPr>
        <w:t xml:space="preserve"> secondary operating system </w:t>
      </w:r>
      <w:r w:rsidR="001B2B2D">
        <w:rPr>
          <w:rFonts w:ascii="Times New Roman" w:hAnsi="Times New Roman" w:cs="Times New Roman"/>
          <w:sz w:val="24"/>
          <w:szCs w:val="24"/>
        </w:rPr>
        <w:t>to run at once (Lo).</w:t>
      </w:r>
      <w:r w:rsidR="004720EE" w:rsidRPr="00BA643E">
        <w:rPr>
          <w:rFonts w:ascii="Times New Roman" w:hAnsi="Times New Roman" w:cs="Times New Roman"/>
          <w:sz w:val="24"/>
          <w:szCs w:val="24"/>
        </w:rPr>
        <w:t xml:space="preserve"> </w:t>
      </w:r>
      <w:r w:rsidR="001B2B2D">
        <w:rPr>
          <w:rFonts w:ascii="Times New Roman" w:hAnsi="Times New Roman" w:cs="Times New Roman"/>
          <w:sz w:val="24"/>
          <w:szCs w:val="24"/>
        </w:rPr>
        <w:t>Increasing work availability</w:t>
      </w:r>
      <w:r w:rsidR="004720EE" w:rsidRPr="00BA643E">
        <w:rPr>
          <w:rFonts w:ascii="Times New Roman" w:hAnsi="Times New Roman" w:cs="Times New Roman"/>
          <w:sz w:val="24"/>
          <w:szCs w:val="24"/>
        </w:rPr>
        <w:t xml:space="preserve"> with much simpler</w:t>
      </w:r>
      <w:r w:rsidR="0052507E" w:rsidRPr="00BA643E">
        <w:rPr>
          <w:rFonts w:ascii="Times New Roman" w:hAnsi="Times New Roman" w:cs="Times New Roman"/>
          <w:sz w:val="24"/>
          <w:szCs w:val="24"/>
        </w:rPr>
        <w:t xml:space="preserve"> components. </w:t>
      </w:r>
      <w:r w:rsidR="008920E3">
        <w:rPr>
          <w:rFonts w:ascii="Times New Roman" w:hAnsi="Times New Roman" w:cs="Times New Roman"/>
          <w:sz w:val="24"/>
          <w:szCs w:val="24"/>
        </w:rPr>
        <w:t>Physical server</w:t>
      </w:r>
      <w:r w:rsidR="006510CF">
        <w:rPr>
          <w:rFonts w:ascii="Times New Roman" w:hAnsi="Times New Roman" w:cs="Times New Roman"/>
          <w:sz w:val="24"/>
          <w:szCs w:val="24"/>
        </w:rPr>
        <w:t>s</w:t>
      </w:r>
      <w:r w:rsidR="008920E3">
        <w:rPr>
          <w:rFonts w:ascii="Times New Roman" w:hAnsi="Times New Roman" w:cs="Times New Roman"/>
          <w:sz w:val="24"/>
          <w:szCs w:val="24"/>
        </w:rPr>
        <w:t xml:space="preserve"> t</w:t>
      </w:r>
      <w:r w:rsidR="006510CF">
        <w:rPr>
          <w:rFonts w:ascii="Times New Roman" w:hAnsi="Times New Roman" w:cs="Times New Roman"/>
          <w:sz w:val="24"/>
          <w:szCs w:val="24"/>
        </w:rPr>
        <w:t>ake</w:t>
      </w:r>
      <w:r w:rsidR="008920E3">
        <w:rPr>
          <w:rFonts w:ascii="Times New Roman" w:hAnsi="Times New Roman" w:cs="Times New Roman"/>
          <w:sz w:val="24"/>
          <w:szCs w:val="24"/>
        </w:rPr>
        <w:t xml:space="preserve"> weeks to process but virtual server only takes 2.5 minutes in process time (</w:t>
      </w:r>
      <w:proofErr w:type="spellStart"/>
      <w:r w:rsidR="008920E3">
        <w:rPr>
          <w:rFonts w:ascii="Times New Roman" w:hAnsi="Times New Roman" w:cs="Times New Roman"/>
          <w:sz w:val="24"/>
          <w:szCs w:val="24"/>
        </w:rPr>
        <w:t>Chivvis</w:t>
      </w:r>
      <w:proofErr w:type="spellEnd"/>
      <w:r w:rsidR="008920E3">
        <w:rPr>
          <w:rFonts w:ascii="Times New Roman" w:hAnsi="Times New Roman" w:cs="Times New Roman"/>
          <w:sz w:val="24"/>
          <w:szCs w:val="24"/>
        </w:rPr>
        <w:t>).</w:t>
      </w:r>
      <w:r w:rsidR="006510CF">
        <w:rPr>
          <w:rFonts w:ascii="Times New Roman" w:hAnsi="Times New Roman" w:cs="Times New Roman"/>
          <w:sz w:val="24"/>
          <w:szCs w:val="24"/>
        </w:rPr>
        <w:t>VMware virtualization technology implies</w:t>
      </w:r>
      <w:r w:rsidR="008B0800">
        <w:rPr>
          <w:rFonts w:ascii="Times New Roman" w:hAnsi="Times New Roman" w:cs="Times New Roman"/>
          <w:sz w:val="24"/>
          <w:szCs w:val="24"/>
        </w:rPr>
        <w:t xml:space="preserve"> the</w:t>
      </w:r>
      <w:r w:rsidR="006510CF">
        <w:rPr>
          <w:rFonts w:ascii="Times New Roman" w:hAnsi="Times New Roman" w:cs="Times New Roman"/>
          <w:sz w:val="24"/>
          <w:szCs w:val="24"/>
        </w:rPr>
        <w:t xml:space="preserve"> </w:t>
      </w:r>
      <w:r w:rsidR="00F10045">
        <w:rPr>
          <w:rFonts w:ascii="Times New Roman" w:hAnsi="Times New Roman" w:cs="Times New Roman"/>
          <w:sz w:val="24"/>
          <w:szCs w:val="24"/>
        </w:rPr>
        <w:t xml:space="preserve">fastest </w:t>
      </w:r>
      <w:r w:rsidR="008B0800">
        <w:rPr>
          <w:rFonts w:ascii="Times New Roman" w:hAnsi="Times New Roman" w:cs="Times New Roman"/>
          <w:sz w:val="24"/>
          <w:szCs w:val="24"/>
        </w:rPr>
        <w:t xml:space="preserve">work availability </w:t>
      </w:r>
      <w:r w:rsidR="008E446A">
        <w:rPr>
          <w:rFonts w:ascii="Times New Roman" w:hAnsi="Times New Roman" w:cs="Times New Roman"/>
          <w:sz w:val="24"/>
          <w:szCs w:val="24"/>
        </w:rPr>
        <w:t>by consolidate many servers.</w:t>
      </w:r>
      <w:r w:rsidR="008B0800">
        <w:rPr>
          <w:rFonts w:ascii="Times New Roman" w:hAnsi="Times New Roman" w:cs="Times New Roman"/>
          <w:sz w:val="24"/>
          <w:szCs w:val="24"/>
        </w:rPr>
        <w:t xml:space="preserve">   </w:t>
      </w:r>
      <w:r w:rsidR="008920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52A4" w:rsidRDefault="001B2B2D" w:rsidP="00D54D5E">
      <w:r>
        <w:rPr>
          <w:rFonts w:ascii="Times New Roman" w:hAnsi="Times New Roman" w:cs="Times New Roman"/>
          <w:sz w:val="24"/>
          <w:szCs w:val="24"/>
        </w:rPr>
        <w:tab/>
        <w:t>While</w:t>
      </w:r>
      <w:r w:rsidR="0052507E" w:rsidRPr="00BA643E"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z w:val="24"/>
          <w:szCs w:val="24"/>
        </w:rPr>
        <w:t xml:space="preserve"> current operating system cost of $</w:t>
      </w:r>
      <w:r w:rsidR="006510CF">
        <w:rPr>
          <w:rFonts w:ascii="Times New Roman" w:hAnsi="Times New Roman" w:cs="Times New Roman"/>
          <w:sz w:val="24"/>
          <w:szCs w:val="24"/>
        </w:rPr>
        <w:t>14,000,000 in three years</w:t>
      </w:r>
      <w:r w:rsidR="0052507E" w:rsidRPr="00BA64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virtualizing the</w:t>
      </w:r>
      <w:r w:rsidR="0052507E" w:rsidRPr="00BA643E">
        <w:rPr>
          <w:rFonts w:ascii="Times New Roman" w:hAnsi="Times New Roman" w:cs="Times New Roman"/>
          <w:sz w:val="24"/>
          <w:szCs w:val="24"/>
        </w:rPr>
        <w:t xml:space="preserve"> server system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6510CF">
        <w:rPr>
          <w:rFonts w:ascii="Times New Roman" w:hAnsi="Times New Roman" w:cs="Times New Roman"/>
          <w:sz w:val="24"/>
          <w:szCs w:val="24"/>
        </w:rPr>
        <w:t xml:space="preserve">total </w:t>
      </w:r>
      <w:r w:rsidR="00701DB3" w:rsidRPr="00BA643E">
        <w:rPr>
          <w:rFonts w:ascii="Times New Roman" w:hAnsi="Times New Roman" w:cs="Times New Roman"/>
          <w:sz w:val="24"/>
          <w:szCs w:val="24"/>
        </w:rPr>
        <w:t>cost</w:t>
      </w:r>
      <w:r w:rsidR="0052507E" w:rsidRPr="00BA643E">
        <w:rPr>
          <w:rFonts w:ascii="Times New Roman" w:hAnsi="Times New Roman" w:cs="Times New Roman"/>
          <w:sz w:val="24"/>
          <w:szCs w:val="24"/>
        </w:rPr>
        <w:t xml:space="preserve"> </w:t>
      </w:r>
      <w:r w:rsidR="006510CF">
        <w:rPr>
          <w:rFonts w:ascii="Times New Roman" w:hAnsi="Times New Roman" w:cs="Times New Roman"/>
          <w:sz w:val="24"/>
          <w:szCs w:val="24"/>
        </w:rPr>
        <w:t>of $4,800,000 in three years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7EC1" w:rsidRPr="00BA643E">
        <w:rPr>
          <w:rFonts w:ascii="Times New Roman" w:hAnsi="Times New Roman" w:cs="Times New Roman"/>
          <w:sz w:val="24"/>
          <w:szCs w:val="24"/>
        </w:rPr>
        <w:t>By looking at a three year period,</w:t>
      </w:r>
      <w:r w:rsidR="00481E51" w:rsidRPr="00BA643E">
        <w:rPr>
          <w:rFonts w:ascii="Times New Roman" w:hAnsi="Times New Roman" w:cs="Times New Roman"/>
          <w:sz w:val="24"/>
          <w:szCs w:val="24"/>
        </w:rPr>
        <w:t xml:space="preserve"> the benefits over the 3 years would be $</w:t>
      </w:r>
      <w:r w:rsidR="00F10045">
        <w:rPr>
          <w:rFonts w:ascii="Times New Roman" w:hAnsi="Times New Roman" w:cs="Times New Roman"/>
          <w:sz w:val="24"/>
          <w:szCs w:val="24"/>
        </w:rPr>
        <w:t>9,200,000</w:t>
      </w:r>
      <w:r w:rsidR="008B0800">
        <w:rPr>
          <w:rFonts w:ascii="Times New Roman" w:hAnsi="Times New Roman" w:cs="Times New Roman"/>
          <w:sz w:val="24"/>
          <w:szCs w:val="24"/>
        </w:rPr>
        <w:t xml:space="preserve">. </w:t>
      </w:r>
      <w:r w:rsidR="00476C1E">
        <w:rPr>
          <w:rFonts w:ascii="Times New Roman" w:hAnsi="Times New Roman" w:cs="Times New Roman"/>
          <w:sz w:val="24"/>
          <w:szCs w:val="24"/>
        </w:rPr>
        <w:t>Our company must take opportunities for savings by utilizing virtualization to consolidate server workloads.</w:t>
      </w:r>
      <w:bookmarkStart w:id="0" w:name="_GoBack"/>
      <w:bookmarkEnd w:id="0"/>
      <w:r w:rsidR="0047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3A" w:rsidRDefault="00F7113A" w:rsidP="00D54D5E"/>
    <w:p w:rsidR="00F7113A" w:rsidRDefault="00F7113A" w:rsidP="00D54D5E"/>
    <w:p w:rsidR="00F7113A" w:rsidRDefault="00F7113A" w:rsidP="00D54D5E"/>
    <w:p w:rsidR="00F7113A" w:rsidRDefault="00F7113A" w:rsidP="00D54D5E"/>
    <w:p w:rsidR="00F7113A" w:rsidRDefault="00F7113A" w:rsidP="00D54D5E"/>
    <w:p w:rsidR="00F7113A" w:rsidRDefault="00F7113A" w:rsidP="00D54D5E"/>
    <w:p w:rsidR="00F7113A" w:rsidRDefault="00F7113A" w:rsidP="00D54D5E"/>
    <w:p w:rsidR="00F7113A" w:rsidRDefault="00F7113A" w:rsidP="00D54D5E"/>
    <w:p w:rsidR="00F7113A" w:rsidRDefault="00F7113A" w:rsidP="00D54D5E"/>
    <w:p w:rsidR="00F7113A" w:rsidRDefault="00F7113A" w:rsidP="00D54D5E"/>
    <w:p w:rsidR="008B0800" w:rsidRDefault="008B0800" w:rsidP="00D54D5E"/>
    <w:p w:rsidR="008B0800" w:rsidRDefault="008B0800" w:rsidP="00D54D5E"/>
    <w:p w:rsidR="00F7113A" w:rsidRDefault="00F7113A" w:rsidP="00D54D5E"/>
    <w:p w:rsidR="00F7113A" w:rsidRDefault="00F7113A" w:rsidP="00D54D5E"/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012886" w:rsidTr="007C06F5">
        <w:trPr>
          <w:trHeight w:val="565"/>
        </w:trPr>
        <w:tc>
          <w:tcPr>
            <w:tcW w:w="1890" w:type="dxa"/>
          </w:tcPr>
          <w:p w:rsidR="00012886" w:rsidRDefault="00012886" w:rsidP="007C06F5">
            <w:r>
              <w:lastRenderedPageBreak/>
              <w:t>Original Technology</w:t>
            </w:r>
          </w:p>
        </w:tc>
        <w:tc>
          <w:tcPr>
            <w:tcW w:w="1890" w:type="dxa"/>
          </w:tcPr>
          <w:p w:rsidR="00012886" w:rsidRPr="00681265" w:rsidRDefault="00012886" w:rsidP="007C06F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Year 1</w:t>
            </w:r>
          </w:p>
        </w:tc>
        <w:tc>
          <w:tcPr>
            <w:tcW w:w="1890" w:type="dxa"/>
          </w:tcPr>
          <w:p w:rsidR="00012886" w:rsidRPr="00681265" w:rsidRDefault="00012886" w:rsidP="007C06F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Year 2</w:t>
            </w:r>
          </w:p>
        </w:tc>
        <w:tc>
          <w:tcPr>
            <w:tcW w:w="1890" w:type="dxa"/>
          </w:tcPr>
          <w:p w:rsidR="00012886" w:rsidRPr="00681265" w:rsidRDefault="00012886" w:rsidP="007C06F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Year 3</w:t>
            </w:r>
          </w:p>
        </w:tc>
        <w:tc>
          <w:tcPr>
            <w:tcW w:w="1890" w:type="dxa"/>
          </w:tcPr>
          <w:p w:rsidR="00012886" w:rsidRPr="00681265" w:rsidRDefault="00012886" w:rsidP="007C06F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Total</w:t>
            </w:r>
          </w:p>
        </w:tc>
      </w:tr>
      <w:tr w:rsidR="00012886" w:rsidTr="007C06F5">
        <w:trPr>
          <w:trHeight w:val="533"/>
        </w:trPr>
        <w:tc>
          <w:tcPr>
            <w:tcW w:w="1890" w:type="dxa"/>
          </w:tcPr>
          <w:p w:rsidR="00012886" w:rsidRPr="00681265" w:rsidRDefault="00012886" w:rsidP="007C06F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Cost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8,000,000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8,000,000</w:t>
            </w:r>
          </w:p>
        </w:tc>
      </w:tr>
      <w:tr w:rsidR="00012886" w:rsidTr="007C06F5">
        <w:trPr>
          <w:trHeight w:val="565"/>
        </w:trPr>
        <w:tc>
          <w:tcPr>
            <w:tcW w:w="1890" w:type="dxa"/>
          </w:tcPr>
          <w:p w:rsidR="00012886" w:rsidRPr="00681265" w:rsidRDefault="00012886" w:rsidP="007C06F5">
            <w:pPr>
              <w:rPr>
                <w:color w:val="5B9BD5" w:themeColor="accent1"/>
                <w:u w:val="single"/>
              </w:rPr>
            </w:pPr>
            <w:r>
              <w:rPr>
                <w:color w:val="5B9BD5" w:themeColor="accent1"/>
                <w:u w:val="single"/>
              </w:rPr>
              <w:t>Maintain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2,000,000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2,000,000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2,000,000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6,000,000</w:t>
            </w:r>
          </w:p>
        </w:tc>
      </w:tr>
      <w:tr w:rsidR="00012886" w:rsidTr="007C06F5">
        <w:trPr>
          <w:trHeight w:val="533"/>
        </w:trPr>
        <w:tc>
          <w:tcPr>
            <w:tcW w:w="1890" w:type="dxa"/>
          </w:tcPr>
          <w:p w:rsidR="00012886" w:rsidRPr="00681265" w:rsidRDefault="00012886" w:rsidP="007C06F5">
            <w:pPr>
              <w:rPr>
                <w:color w:val="5B9BD5" w:themeColor="accent1"/>
                <w:u w:val="single"/>
              </w:rPr>
            </w:pPr>
            <w:r>
              <w:rPr>
                <w:color w:val="5B9BD5" w:themeColor="accent1"/>
                <w:u w:val="single"/>
              </w:rPr>
              <w:t xml:space="preserve">Total 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10,000,000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2,000,000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2,000,000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14,000,000</w:t>
            </w:r>
          </w:p>
        </w:tc>
      </w:tr>
    </w:tbl>
    <w:p w:rsidR="00F7113A" w:rsidRDefault="00F7113A" w:rsidP="00D54D5E"/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012886" w:rsidTr="007C06F5">
        <w:trPr>
          <w:trHeight w:val="565"/>
        </w:trPr>
        <w:tc>
          <w:tcPr>
            <w:tcW w:w="1890" w:type="dxa"/>
          </w:tcPr>
          <w:p w:rsidR="00012886" w:rsidRDefault="00012886" w:rsidP="007C06F5">
            <w:r>
              <w:t>New Technology</w:t>
            </w:r>
          </w:p>
        </w:tc>
        <w:tc>
          <w:tcPr>
            <w:tcW w:w="1890" w:type="dxa"/>
          </w:tcPr>
          <w:p w:rsidR="00012886" w:rsidRPr="00681265" w:rsidRDefault="00012886" w:rsidP="007C06F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Year 1</w:t>
            </w:r>
          </w:p>
        </w:tc>
        <w:tc>
          <w:tcPr>
            <w:tcW w:w="1890" w:type="dxa"/>
          </w:tcPr>
          <w:p w:rsidR="00012886" w:rsidRPr="00681265" w:rsidRDefault="00012886" w:rsidP="007C06F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Year 2</w:t>
            </w:r>
          </w:p>
        </w:tc>
        <w:tc>
          <w:tcPr>
            <w:tcW w:w="1890" w:type="dxa"/>
          </w:tcPr>
          <w:p w:rsidR="00012886" w:rsidRPr="00681265" w:rsidRDefault="00012886" w:rsidP="007C06F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Year 3</w:t>
            </w:r>
          </w:p>
        </w:tc>
        <w:tc>
          <w:tcPr>
            <w:tcW w:w="1890" w:type="dxa"/>
          </w:tcPr>
          <w:p w:rsidR="00012886" w:rsidRPr="00681265" w:rsidRDefault="00012886" w:rsidP="007C06F5">
            <w:pPr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Total</w:t>
            </w:r>
          </w:p>
        </w:tc>
      </w:tr>
      <w:tr w:rsidR="00012886" w:rsidTr="007C06F5">
        <w:trPr>
          <w:trHeight w:val="533"/>
        </w:trPr>
        <w:tc>
          <w:tcPr>
            <w:tcW w:w="1890" w:type="dxa"/>
          </w:tcPr>
          <w:p w:rsidR="00012886" w:rsidRPr="00681265" w:rsidRDefault="00012886" w:rsidP="00012886">
            <w:pPr>
              <w:jc w:val="center"/>
              <w:rPr>
                <w:color w:val="5B9BD5" w:themeColor="accent1"/>
                <w:u w:val="single"/>
              </w:rPr>
            </w:pPr>
            <w:r w:rsidRPr="00681265">
              <w:rPr>
                <w:color w:val="5B9BD5" w:themeColor="accent1"/>
                <w:u w:val="single"/>
              </w:rPr>
              <w:t>Cost</w:t>
            </w:r>
            <w:r>
              <w:rPr>
                <w:color w:val="5B9BD5" w:themeColor="accent1"/>
                <w:u w:val="single"/>
              </w:rPr>
              <w:t xml:space="preserve"> of </w:t>
            </w:r>
            <w:r>
              <w:rPr>
                <w:color w:val="5B9BD5" w:themeColor="accent1"/>
                <w:u w:val="single"/>
              </w:rPr>
              <w:t xml:space="preserve">200 </w:t>
            </w:r>
            <w:r>
              <w:rPr>
                <w:color w:val="5B9BD5" w:themeColor="accent1"/>
                <w:u w:val="single"/>
              </w:rPr>
              <w:t>server</w:t>
            </w:r>
            <w:r>
              <w:rPr>
                <w:color w:val="5B9BD5" w:themeColor="accent1"/>
                <w:u w:val="single"/>
              </w:rPr>
              <w:t>s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1,600,000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1,600,000</w:t>
            </w:r>
          </w:p>
        </w:tc>
      </w:tr>
      <w:tr w:rsidR="00012886" w:rsidTr="007C06F5">
        <w:trPr>
          <w:trHeight w:val="533"/>
        </w:trPr>
        <w:tc>
          <w:tcPr>
            <w:tcW w:w="1890" w:type="dxa"/>
          </w:tcPr>
          <w:p w:rsidR="00012886" w:rsidRPr="00681265" w:rsidRDefault="00012886" w:rsidP="00012886">
            <w:pPr>
              <w:jc w:val="center"/>
              <w:rPr>
                <w:color w:val="5B9BD5" w:themeColor="accent1"/>
                <w:u w:val="single"/>
              </w:rPr>
            </w:pPr>
            <w:r>
              <w:rPr>
                <w:color w:val="5B9BD5" w:themeColor="accent1"/>
                <w:u w:val="single"/>
              </w:rPr>
              <w:t>Cost of 80 servers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$1,280,000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$1,280,000</w:t>
            </w:r>
          </w:p>
        </w:tc>
      </w:tr>
      <w:tr w:rsidR="00012886" w:rsidTr="007C06F5">
        <w:trPr>
          <w:trHeight w:val="565"/>
        </w:trPr>
        <w:tc>
          <w:tcPr>
            <w:tcW w:w="1890" w:type="dxa"/>
          </w:tcPr>
          <w:p w:rsidR="00012886" w:rsidRPr="00681265" w:rsidRDefault="00012886" w:rsidP="00012886">
            <w:pPr>
              <w:jc w:val="center"/>
              <w:rPr>
                <w:color w:val="5B9BD5" w:themeColor="accent1"/>
                <w:u w:val="single"/>
              </w:rPr>
            </w:pPr>
            <w:r>
              <w:rPr>
                <w:color w:val="5B9BD5" w:themeColor="accent1"/>
                <w:u w:val="single"/>
              </w:rPr>
              <w:t xml:space="preserve">Maintain cost </w:t>
            </w:r>
            <w:r>
              <w:rPr>
                <w:color w:val="5B9BD5" w:themeColor="accent1"/>
                <w:u w:val="single"/>
              </w:rPr>
              <w:t>for 200 servers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400,000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400,000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400,000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1,200,000</w:t>
            </w:r>
          </w:p>
        </w:tc>
      </w:tr>
      <w:tr w:rsidR="00012886" w:rsidTr="007C06F5">
        <w:trPr>
          <w:trHeight w:val="565"/>
        </w:trPr>
        <w:tc>
          <w:tcPr>
            <w:tcW w:w="1890" w:type="dxa"/>
          </w:tcPr>
          <w:p w:rsidR="00012886" w:rsidRDefault="00012886" w:rsidP="00012886">
            <w:pPr>
              <w:jc w:val="center"/>
              <w:rPr>
                <w:color w:val="5B9BD5" w:themeColor="accent1"/>
                <w:u w:val="single"/>
              </w:rPr>
            </w:pPr>
            <w:r>
              <w:rPr>
                <w:color w:val="5B9BD5" w:themeColor="accent1"/>
                <w:u w:val="single"/>
              </w:rPr>
              <w:t>Maintain cost for 80 servers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$240,000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$240,000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$240,000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$720,000</w:t>
            </w:r>
          </w:p>
        </w:tc>
      </w:tr>
      <w:tr w:rsidR="00012886" w:rsidTr="007C06F5">
        <w:trPr>
          <w:trHeight w:val="533"/>
        </w:trPr>
        <w:tc>
          <w:tcPr>
            <w:tcW w:w="1890" w:type="dxa"/>
          </w:tcPr>
          <w:p w:rsidR="00012886" w:rsidRPr="00681265" w:rsidRDefault="00012886" w:rsidP="00012886">
            <w:pPr>
              <w:jc w:val="center"/>
              <w:rPr>
                <w:color w:val="5B9BD5" w:themeColor="accent1"/>
                <w:u w:val="single"/>
              </w:rPr>
            </w:pPr>
            <w:r>
              <w:rPr>
                <w:color w:val="5B9BD5" w:themeColor="accent1"/>
                <w:u w:val="single"/>
              </w:rPr>
              <w:t>Total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>
              <w:t>3,520,000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 w:rsidR="006510CF">
              <w:t>640,000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 w:rsidR="006510CF">
              <w:t>640,000</w:t>
            </w:r>
          </w:p>
        </w:tc>
        <w:tc>
          <w:tcPr>
            <w:tcW w:w="1890" w:type="dxa"/>
          </w:tcPr>
          <w:p w:rsidR="00012886" w:rsidRDefault="00012886" w:rsidP="007C06F5">
            <w:pPr>
              <w:jc w:val="center"/>
            </w:pPr>
            <w:r>
              <w:t>$</w:t>
            </w:r>
            <w:r w:rsidR="006510CF">
              <w:t>4,800,000</w:t>
            </w:r>
          </w:p>
        </w:tc>
      </w:tr>
    </w:tbl>
    <w:p w:rsidR="00F7113A" w:rsidRDefault="00F7113A" w:rsidP="00D54D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12886" w:rsidTr="007C06F5">
        <w:tc>
          <w:tcPr>
            <w:tcW w:w="1870" w:type="dxa"/>
          </w:tcPr>
          <w:p w:rsidR="00012886" w:rsidRDefault="00012886" w:rsidP="007C06F5"/>
        </w:tc>
        <w:tc>
          <w:tcPr>
            <w:tcW w:w="1870" w:type="dxa"/>
          </w:tcPr>
          <w:p w:rsidR="00012886" w:rsidRDefault="00012886" w:rsidP="007C06F5">
            <w:r>
              <w:t>Year 1</w:t>
            </w:r>
          </w:p>
        </w:tc>
        <w:tc>
          <w:tcPr>
            <w:tcW w:w="1870" w:type="dxa"/>
          </w:tcPr>
          <w:p w:rsidR="00012886" w:rsidRDefault="00012886" w:rsidP="007C06F5">
            <w:r>
              <w:t>Year 2</w:t>
            </w:r>
          </w:p>
        </w:tc>
        <w:tc>
          <w:tcPr>
            <w:tcW w:w="1870" w:type="dxa"/>
          </w:tcPr>
          <w:p w:rsidR="00012886" w:rsidRDefault="00012886" w:rsidP="007C06F5">
            <w:r>
              <w:t>Year 3</w:t>
            </w:r>
          </w:p>
        </w:tc>
        <w:tc>
          <w:tcPr>
            <w:tcW w:w="1870" w:type="dxa"/>
          </w:tcPr>
          <w:p w:rsidR="00012886" w:rsidRDefault="00012886" w:rsidP="007C06F5">
            <w:r>
              <w:t>Total</w:t>
            </w:r>
          </w:p>
        </w:tc>
      </w:tr>
      <w:tr w:rsidR="00012886" w:rsidTr="007C06F5">
        <w:tc>
          <w:tcPr>
            <w:tcW w:w="1870" w:type="dxa"/>
          </w:tcPr>
          <w:p w:rsidR="00012886" w:rsidRDefault="00012886" w:rsidP="006510CF">
            <w:pPr>
              <w:jc w:val="center"/>
            </w:pPr>
            <w:r>
              <w:t>To be benefits</w:t>
            </w:r>
          </w:p>
        </w:tc>
        <w:tc>
          <w:tcPr>
            <w:tcW w:w="1870" w:type="dxa"/>
          </w:tcPr>
          <w:p w:rsidR="00012886" w:rsidRDefault="006510CF" w:rsidP="007C06F5">
            <w:r>
              <w:t>$6,480,000</w:t>
            </w:r>
          </w:p>
        </w:tc>
        <w:tc>
          <w:tcPr>
            <w:tcW w:w="1870" w:type="dxa"/>
          </w:tcPr>
          <w:p w:rsidR="00012886" w:rsidRDefault="006510CF" w:rsidP="007C06F5">
            <w:r>
              <w:t>$1,360,000</w:t>
            </w:r>
          </w:p>
        </w:tc>
        <w:tc>
          <w:tcPr>
            <w:tcW w:w="1870" w:type="dxa"/>
          </w:tcPr>
          <w:p w:rsidR="00012886" w:rsidRDefault="006510CF" w:rsidP="007C06F5">
            <w:r>
              <w:t>$1,360,000</w:t>
            </w:r>
          </w:p>
        </w:tc>
        <w:tc>
          <w:tcPr>
            <w:tcW w:w="1870" w:type="dxa"/>
          </w:tcPr>
          <w:p w:rsidR="00012886" w:rsidRDefault="006510CF" w:rsidP="007C06F5">
            <w:r>
              <w:t>$9,200,000</w:t>
            </w:r>
          </w:p>
        </w:tc>
      </w:tr>
    </w:tbl>
    <w:p w:rsidR="00012886" w:rsidRDefault="00012886" w:rsidP="00D54D5E"/>
    <w:p w:rsidR="00012886" w:rsidRDefault="00012886" w:rsidP="00D54D5E"/>
    <w:p w:rsidR="00F7113A" w:rsidRPr="005C0CBC" w:rsidRDefault="00F7113A" w:rsidP="00F71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CBC">
        <w:rPr>
          <w:rFonts w:ascii="Times New Roman" w:hAnsi="Times New Roman" w:cs="Times New Roman"/>
          <w:b/>
          <w:sz w:val="24"/>
          <w:szCs w:val="24"/>
        </w:rPr>
        <w:t>Work cited</w:t>
      </w:r>
    </w:p>
    <w:p w:rsidR="00F7113A" w:rsidRPr="005C0CBC" w:rsidRDefault="00F7113A" w:rsidP="00F7113A">
      <w:pPr>
        <w:rPr>
          <w:rFonts w:ascii="Times New Roman" w:hAnsi="Times New Roman" w:cs="Times New Roman"/>
          <w:sz w:val="24"/>
          <w:szCs w:val="24"/>
          <w:lang w:val="en"/>
        </w:rPr>
      </w:pPr>
      <w:r w:rsidRPr="005C0CBC">
        <w:rPr>
          <w:rFonts w:ascii="Times New Roman" w:hAnsi="Times New Roman" w:cs="Times New Roman"/>
          <w:sz w:val="24"/>
          <w:szCs w:val="24"/>
          <w:lang w:val="en"/>
        </w:rPr>
        <w:t xml:space="preserve">"Virtualization Basics." </w:t>
      </w:r>
      <w:r w:rsidRPr="005C0CBC">
        <w:rPr>
          <w:rFonts w:ascii="Times New Roman" w:hAnsi="Times New Roman" w:cs="Times New Roman"/>
          <w:i/>
          <w:iCs/>
          <w:sz w:val="24"/>
          <w:szCs w:val="24"/>
          <w:lang w:val="en"/>
        </w:rPr>
        <w:t>VMware Virtualization</w:t>
      </w:r>
      <w:r w:rsidRPr="005C0CB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proofErr w:type="gramStart"/>
      <w:r w:rsidRPr="005C0CBC">
        <w:rPr>
          <w:rFonts w:ascii="Times New Roman" w:hAnsi="Times New Roman" w:cs="Times New Roman"/>
          <w:sz w:val="24"/>
          <w:szCs w:val="24"/>
          <w:lang w:val="en"/>
        </w:rPr>
        <w:t>N.p</w:t>
      </w:r>
      <w:proofErr w:type="spellEnd"/>
      <w:proofErr w:type="gramEnd"/>
      <w:r w:rsidRPr="005C0CBC">
        <w:rPr>
          <w:rFonts w:ascii="Times New Roman" w:hAnsi="Times New Roman" w:cs="Times New Roman"/>
          <w:sz w:val="24"/>
          <w:szCs w:val="24"/>
          <w:lang w:val="en"/>
        </w:rPr>
        <w:t>., 2013. Web. 24 Sept. 2013.</w:t>
      </w:r>
    </w:p>
    <w:p w:rsidR="000A7B07" w:rsidRPr="005C0CBC" w:rsidRDefault="000A7B07" w:rsidP="00F7113A">
      <w:pPr>
        <w:rPr>
          <w:rFonts w:ascii="Times New Roman" w:hAnsi="Times New Roman" w:cs="Times New Roman"/>
          <w:sz w:val="24"/>
          <w:szCs w:val="24"/>
          <w:lang w:val="en"/>
        </w:rPr>
      </w:pPr>
      <w:r w:rsidRPr="005C0CBC">
        <w:rPr>
          <w:rFonts w:ascii="Times New Roman" w:hAnsi="Times New Roman" w:cs="Times New Roman"/>
          <w:sz w:val="24"/>
          <w:szCs w:val="24"/>
          <w:lang w:val="en"/>
        </w:rPr>
        <w:t xml:space="preserve">Lo, Kevin. "Account Options." </w:t>
      </w:r>
      <w:r w:rsidRPr="005C0CBC">
        <w:rPr>
          <w:rFonts w:ascii="Times New Roman" w:hAnsi="Times New Roman" w:cs="Times New Roman"/>
          <w:i/>
          <w:iCs/>
          <w:sz w:val="24"/>
          <w:szCs w:val="24"/>
          <w:lang w:val="en"/>
        </w:rPr>
        <w:t>Virtualization 101</w:t>
      </w:r>
      <w:r w:rsidRPr="005C0CB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5C0CBC">
        <w:rPr>
          <w:rFonts w:ascii="Times New Roman" w:hAnsi="Times New Roman" w:cs="Times New Roman"/>
          <w:sz w:val="24"/>
          <w:szCs w:val="24"/>
          <w:lang w:val="en"/>
        </w:rPr>
        <w:t>Techsoup</w:t>
      </w:r>
      <w:proofErr w:type="spellEnd"/>
      <w:r w:rsidRPr="005C0CBC">
        <w:rPr>
          <w:rFonts w:ascii="Times New Roman" w:hAnsi="Times New Roman" w:cs="Times New Roman"/>
          <w:sz w:val="24"/>
          <w:szCs w:val="24"/>
          <w:lang w:val="en"/>
        </w:rPr>
        <w:t>, 19 Jan. 2011. Web. 24 Sept. 2013.</w:t>
      </w:r>
    </w:p>
    <w:p w:rsidR="00252CB0" w:rsidRDefault="005C0CBC" w:rsidP="00252CB0">
      <w:pPr>
        <w:rPr>
          <w:rFonts w:ascii="Times New Roman" w:hAnsi="Times New Roman" w:cs="Times New Roman"/>
          <w:sz w:val="24"/>
          <w:szCs w:val="24"/>
          <w:lang w:val="en"/>
        </w:rPr>
      </w:pPr>
      <w:r w:rsidRPr="005C0CBC">
        <w:rPr>
          <w:rFonts w:ascii="Times New Roman" w:hAnsi="Times New Roman" w:cs="Times New Roman"/>
          <w:sz w:val="24"/>
          <w:szCs w:val="24"/>
          <w:lang w:val="en"/>
        </w:rPr>
        <w:t xml:space="preserve">Chivvis, John. "The Virtues of Virtualization—Saving Money, Energy and the Environment </w:t>
      </w:r>
    </w:p>
    <w:p w:rsidR="00252CB0" w:rsidRDefault="00252CB0" w:rsidP="00252CB0">
      <w:p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5C0CBC" w:rsidRPr="005C0CBC">
        <w:rPr>
          <w:rFonts w:ascii="Times New Roman" w:hAnsi="Times New Roman" w:cs="Times New Roman"/>
          <w:sz w:val="24"/>
          <w:szCs w:val="24"/>
          <w:lang w:val="en"/>
        </w:rPr>
        <w:t xml:space="preserve">04/09." </w:t>
      </w:r>
      <w:r w:rsidR="005C0CBC" w:rsidRPr="005C0CBC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The Virtues of Virtualization—Saving Money, Energy and the Environment </w:t>
      </w:r>
    </w:p>
    <w:p w:rsidR="005C0CBC" w:rsidRDefault="00252CB0" w:rsidP="00252CB0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ab/>
      </w:r>
      <w:r w:rsidR="005C0CBC" w:rsidRPr="005C0CBC">
        <w:rPr>
          <w:rFonts w:ascii="Times New Roman" w:hAnsi="Times New Roman" w:cs="Times New Roman"/>
          <w:i/>
          <w:iCs/>
          <w:sz w:val="24"/>
          <w:szCs w:val="24"/>
          <w:lang w:val="en"/>
        </w:rPr>
        <w:t>04/09</w:t>
      </w:r>
      <w:r w:rsidR="005C0CBC" w:rsidRPr="005C0CBC">
        <w:rPr>
          <w:rFonts w:ascii="Times New Roman" w:hAnsi="Times New Roman" w:cs="Times New Roman"/>
          <w:sz w:val="24"/>
          <w:szCs w:val="24"/>
          <w:lang w:val="en"/>
        </w:rPr>
        <w:t xml:space="preserve">. The </w:t>
      </w:r>
      <w:proofErr w:type="spellStart"/>
      <w:r w:rsidR="005C0CBC" w:rsidRPr="005C0CBC">
        <w:rPr>
          <w:rFonts w:ascii="Times New Roman" w:hAnsi="Times New Roman" w:cs="Times New Roman"/>
          <w:sz w:val="24"/>
          <w:szCs w:val="24"/>
          <w:lang w:val="en"/>
        </w:rPr>
        <w:t>RoughNotesCompany</w:t>
      </w:r>
      <w:proofErr w:type="spellEnd"/>
      <w:r w:rsidR="005C0CBC" w:rsidRPr="005C0CB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5C0CBC" w:rsidRPr="005C0CBC">
        <w:rPr>
          <w:rFonts w:ascii="Times New Roman" w:hAnsi="Times New Roman" w:cs="Times New Roman"/>
          <w:sz w:val="24"/>
          <w:szCs w:val="24"/>
          <w:lang w:val="en"/>
        </w:rPr>
        <w:t>n.d.</w:t>
      </w:r>
      <w:proofErr w:type="spellEnd"/>
      <w:r w:rsidR="005C0CBC" w:rsidRPr="005C0CBC">
        <w:rPr>
          <w:rFonts w:ascii="Times New Roman" w:hAnsi="Times New Roman" w:cs="Times New Roman"/>
          <w:sz w:val="24"/>
          <w:szCs w:val="24"/>
          <w:lang w:val="en"/>
        </w:rPr>
        <w:t xml:space="preserve"> Web. 27 Sept. 2013.</w:t>
      </w:r>
    </w:p>
    <w:p w:rsidR="00241B51" w:rsidRDefault="00241B51" w:rsidP="00252CB0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241B51" w:rsidRPr="00252CB0" w:rsidRDefault="00241B51" w:rsidP="00252CB0">
      <w:pPr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sectPr w:rsidR="00241B51" w:rsidRPr="00252C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49" w:rsidRDefault="00490049" w:rsidP="00D54D5E">
      <w:pPr>
        <w:spacing w:after="0" w:line="240" w:lineRule="auto"/>
      </w:pPr>
      <w:r>
        <w:separator/>
      </w:r>
    </w:p>
  </w:endnote>
  <w:endnote w:type="continuationSeparator" w:id="0">
    <w:p w:rsidR="00490049" w:rsidRDefault="00490049" w:rsidP="00D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79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EC1" w:rsidRDefault="00F27E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EC1" w:rsidRDefault="00F27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49" w:rsidRDefault="00490049" w:rsidP="00D54D5E">
      <w:pPr>
        <w:spacing w:after="0" w:line="240" w:lineRule="auto"/>
      </w:pPr>
      <w:r>
        <w:separator/>
      </w:r>
    </w:p>
  </w:footnote>
  <w:footnote w:type="continuationSeparator" w:id="0">
    <w:p w:rsidR="00490049" w:rsidRDefault="00490049" w:rsidP="00D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C1" w:rsidRDefault="00F27EC1">
    <w:pPr>
      <w:pStyle w:val="Header"/>
    </w:pPr>
    <w:r>
      <w:t xml:space="preserve">To: Mart Doyle; CIO </w:t>
    </w:r>
  </w:p>
  <w:p w:rsidR="00F27EC1" w:rsidRDefault="00F27EC1">
    <w:pPr>
      <w:pStyle w:val="Header"/>
    </w:pPr>
    <w:r>
      <w:t>From: Joon-Yong Kim</w:t>
    </w:r>
  </w:p>
  <w:p w:rsidR="00F27EC1" w:rsidRDefault="00F27EC1">
    <w:pPr>
      <w:pStyle w:val="Header"/>
    </w:pPr>
    <w:r>
      <w:t>Date:  01/10/13</w:t>
    </w:r>
  </w:p>
  <w:p w:rsidR="00F27EC1" w:rsidRDefault="00F27EC1">
    <w:pPr>
      <w:pStyle w:val="Header"/>
    </w:pPr>
    <w:r>
      <w:t>Subject: Virtualization</w:t>
    </w:r>
    <w:r>
      <w:tab/>
    </w:r>
  </w:p>
  <w:p w:rsidR="00F27EC1" w:rsidRDefault="00F27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5E"/>
    <w:rsid w:val="00012886"/>
    <w:rsid w:val="0001599C"/>
    <w:rsid w:val="00016322"/>
    <w:rsid w:val="0003114A"/>
    <w:rsid w:val="00031E84"/>
    <w:rsid w:val="00061218"/>
    <w:rsid w:val="00083585"/>
    <w:rsid w:val="00084CBE"/>
    <w:rsid w:val="0009681A"/>
    <w:rsid w:val="000A0300"/>
    <w:rsid w:val="000A345F"/>
    <w:rsid w:val="000A7B07"/>
    <w:rsid w:val="000C1318"/>
    <w:rsid w:val="000D2A01"/>
    <w:rsid w:val="000E76A5"/>
    <w:rsid w:val="00110227"/>
    <w:rsid w:val="0015316C"/>
    <w:rsid w:val="001615B1"/>
    <w:rsid w:val="00161BBC"/>
    <w:rsid w:val="001839A6"/>
    <w:rsid w:val="001848A8"/>
    <w:rsid w:val="00190AE0"/>
    <w:rsid w:val="001B2B2D"/>
    <w:rsid w:val="001F52A4"/>
    <w:rsid w:val="0020451D"/>
    <w:rsid w:val="00241B51"/>
    <w:rsid w:val="00242726"/>
    <w:rsid w:val="00245990"/>
    <w:rsid w:val="00252CB0"/>
    <w:rsid w:val="00276618"/>
    <w:rsid w:val="00297EB4"/>
    <w:rsid w:val="002E117E"/>
    <w:rsid w:val="00317F7B"/>
    <w:rsid w:val="00377AD8"/>
    <w:rsid w:val="00382F8B"/>
    <w:rsid w:val="003A514B"/>
    <w:rsid w:val="003A590A"/>
    <w:rsid w:val="003F78D0"/>
    <w:rsid w:val="00424A2B"/>
    <w:rsid w:val="00433C4A"/>
    <w:rsid w:val="00451690"/>
    <w:rsid w:val="004654B3"/>
    <w:rsid w:val="004720EE"/>
    <w:rsid w:val="00476C1E"/>
    <w:rsid w:val="00481E51"/>
    <w:rsid w:val="00486BB6"/>
    <w:rsid w:val="00490049"/>
    <w:rsid w:val="00490E8F"/>
    <w:rsid w:val="004A31F5"/>
    <w:rsid w:val="004A72ED"/>
    <w:rsid w:val="004B663F"/>
    <w:rsid w:val="004D2551"/>
    <w:rsid w:val="004F0DF4"/>
    <w:rsid w:val="004F3F37"/>
    <w:rsid w:val="00503552"/>
    <w:rsid w:val="00510BC6"/>
    <w:rsid w:val="0052507E"/>
    <w:rsid w:val="0056413A"/>
    <w:rsid w:val="005B014A"/>
    <w:rsid w:val="005B0758"/>
    <w:rsid w:val="005C0CBC"/>
    <w:rsid w:val="005D667C"/>
    <w:rsid w:val="005E3D44"/>
    <w:rsid w:val="005F44C4"/>
    <w:rsid w:val="00605EC2"/>
    <w:rsid w:val="00610FD0"/>
    <w:rsid w:val="006333B3"/>
    <w:rsid w:val="00637266"/>
    <w:rsid w:val="00645A34"/>
    <w:rsid w:val="00646E21"/>
    <w:rsid w:val="006510CF"/>
    <w:rsid w:val="006819E9"/>
    <w:rsid w:val="006942FC"/>
    <w:rsid w:val="006A6FF5"/>
    <w:rsid w:val="006B216A"/>
    <w:rsid w:val="006B742E"/>
    <w:rsid w:val="006C730C"/>
    <w:rsid w:val="006D7268"/>
    <w:rsid w:val="006E6785"/>
    <w:rsid w:val="00701DB3"/>
    <w:rsid w:val="00713E48"/>
    <w:rsid w:val="00714CA1"/>
    <w:rsid w:val="00774243"/>
    <w:rsid w:val="0077472D"/>
    <w:rsid w:val="007A0789"/>
    <w:rsid w:val="007B64E4"/>
    <w:rsid w:val="007C4457"/>
    <w:rsid w:val="007E1FB7"/>
    <w:rsid w:val="00834771"/>
    <w:rsid w:val="00846CE2"/>
    <w:rsid w:val="00847C7B"/>
    <w:rsid w:val="00851873"/>
    <w:rsid w:val="008920E3"/>
    <w:rsid w:val="00896EAF"/>
    <w:rsid w:val="008A1749"/>
    <w:rsid w:val="008B0800"/>
    <w:rsid w:val="008E446A"/>
    <w:rsid w:val="008E6959"/>
    <w:rsid w:val="00905175"/>
    <w:rsid w:val="00912C68"/>
    <w:rsid w:val="00930310"/>
    <w:rsid w:val="0094632A"/>
    <w:rsid w:val="00971A1D"/>
    <w:rsid w:val="0097592C"/>
    <w:rsid w:val="00983992"/>
    <w:rsid w:val="009854BA"/>
    <w:rsid w:val="009A35AE"/>
    <w:rsid w:val="009A61C6"/>
    <w:rsid w:val="009B2B1D"/>
    <w:rsid w:val="009C5B7B"/>
    <w:rsid w:val="009C6086"/>
    <w:rsid w:val="009E3223"/>
    <w:rsid w:val="009E341D"/>
    <w:rsid w:val="00A005AB"/>
    <w:rsid w:val="00A10D76"/>
    <w:rsid w:val="00A14BC0"/>
    <w:rsid w:val="00A52D88"/>
    <w:rsid w:val="00A52E4B"/>
    <w:rsid w:val="00A560E6"/>
    <w:rsid w:val="00A7090C"/>
    <w:rsid w:val="00A96DC3"/>
    <w:rsid w:val="00B34B3B"/>
    <w:rsid w:val="00B35F12"/>
    <w:rsid w:val="00B542B7"/>
    <w:rsid w:val="00B55706"/>
    <w:rsid w:val="00B60C1F"/>
    <w:rsid w:val="00B65248"/>
    <w:rsid w:val="00B70196"/>
    <w:rsid w:val="00B81360"/>
    <w:rsid w:val="00B924AB"/>
    <w:rsid w:val="00BA0DFC"/>
    <w:rsid w:val="00BA36F8"/>
    <w:rsid w:val="00BA3981"/>
    <w:rsid w:val="00BA643E"/>
    <w:rsid w:val="00BA6AE4"/>
    <w:rsid w:val="00BC0A9D"/>
    <w:rsid w:val="00BC4E90"/>
    <w:rsid w:val="00BE1811"/>
    <w:rsid w:val="00BF491D"/>
    <w:rsid w:val="00C07D65"/>
    <w:rsid w:val="00C52EA8"/>
    <w:rsid w:val="00C573BD"/>
    <w:rsid w:val="00C77DF7"/>
    <w:rsid w:val="00C85251"/>
    <w:rsid w:val="00CA0D9D"/>
    <w:rsid w:val="00CD693C"/>
    <w:rsid w:val="00CE3C53"/>
    <w:rsid w:val="00D14E89"/>
    <w:rsid w:val="00D2027D"/>
    <w:rsid w:val="00D2132A"/>
    <w:rsid w:val="00D2694A"/>
    <w:rsid w:val="00D50925"/>
    <w:rsid w:val="00D542AF"/>
    <w:rsid w:val="00D54D5E"/>
    <w:rsid w:val="00D5756F"/>
    <w:rsid w:val="00D605BF"/>
    <w:rsid w:val="00D62B92"/>
    <w:rsid w:val="00D82359"/>
    <w:rsid w:val="00D935FB"/>
    <w:rsid w:val="00D94D89"/>
    <w:rsid w:val="00D97562"/>
    <w:rsid w:val="00D97A27"/>
    <w:rsid w:val="00DA1845"/>
    <w:rsid w:val="00DA2EC5"/>
    <w:rsid w:val="00DD2172"/>
    <w:rsid w:val="00DD5CD8"/>
    <w:rsid w:val="00DE588C"/>
    <w:rsid w:val="00DF7034"/>
    <w:rsid w:val="00DF730B"/>
    <w:rsid w:val="00E30052"/>
    <w:rsid w:val="00E46B6F"/>
    <w:rsid w:val="00E60D1C"/>
    <w:rsid w:val="00E70CF5"/>
    <w:rsid w:val="00E9181F"/>
    <w:rsid w:val="00EB48F1"/>
    <w:rsid w:val="00EC072C"/>
    <w:rsid w:val="00EC1323"/>
    <w:rsid w:val="00EE2634"/>
    <w:rsid w:val="00EF0A67"/>
    <w:rsid w:val="00F00276"/>
    <w:rsid w:val="00F10045"/>
    <w:rsid w:val="00F1462F"/>
    <w:rsid w:val="00F27EC1"/>
    <w:rsid w:val="00F301C2"/>
    <w:rsid w:val="00F34CCB"/>
    <w:rsid w:val="00F46BCF"/>
    <w:rsid w:val="00F7113A"/>
    <w:rsid w:val="00F966DE"/>
    <w:rsid w:val="00FA260C"/>
    <w:rsid w:val="00FB33A7"/>
    <w:rsid w:val="00FB5C86"/>
    <w:rsid w:val="00FC6B2E"/>
    <w:rsid w:val="00FD1B31"/>
    <w:rsid w:val="00FD5DC5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92F63-DD37-4107-A5BE-86E1715B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5E"/>
  </w:style>
  <w:style w:type="paragraph" w:styleId="Footer">
    <w:name w:val="footer"/>
    <w:basedOn w:val="Normal"/>
    <w:link w:val="FooterChar"/>
    <w:uiPriority w:val="99"/>
    <w:unhideWhenUsed/>
    <w:rsid w:val="00D54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5E"/>
  </w:style>
  <w:style w:type="table" w:styleId="TableGrid">
    <w:name w:val="Table Grid"/>
    <w:basedOn w:val="TableNormal"/>
    <w:uiPriority w:val="39"/>
    <w:rsid w:val="0001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4B2D-11CC-46BE-8C27-AF8AE127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Joon-Yong Kim</dc:creator>
  <cp:keywords/>
  <dc:description/>
  <cp:lastModifiedBy>Joon-Yong Kim</cp:lastModifiedBy>
  <cp:revision>19</cp:revision>
  <dcterms:created xsi:type="dcterms:W3CDTF">2013-09-24T20:41:00Z</dcterms:created>
  <dcterms:modified xsi:type="dcterms:W3CDTF">2013-10-01T21:02:00Z</dcterms:modified>
</cp:coreProperties>
</file>