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E4" w:rsidRPr="00D178E4" w:rsidRDefault="00D178E4" w:rsidP="00D178E4">
      <w:pPr>
        <w:shd w:val="clear" w:color="auto" w:fill="FFFFFF"/>
        <w:spacing w:after="324" w:line="240" w:lineRule="auto"/>
        <w:jc w:val="center"/>
        <w:rPr>
          <w:rFonts w:ascii="Calibri" w:eastAsia="Malgun Gothic" w:hAnsi="Calibri" w:cs="Times New Roman"/>
          <w:color w:val="000000"/>
        </w:rPr>
      </w:pPr>
      <w:r w:rsidRPr="00D178E4">
        <w:rPr>
          <w:rFonts w:ascii="Times New Roman" w:eastAsia="Malgun Gothic" w:hAnsi="Times New Roman" w:cs="Times New Roman"/>
          <w:b/>
          <w:bCs/>
          <w:color w:val="000000"/>
        </w:rPr>
        <w:t>“Tier III” Data Center</w:t>
      </w:r>
    </w:p>
    <w:p w:rsidR="00D178E4" w:rsidRPr="00D178E4" w:rsidRDefault="00AD22E7" w:rsidP="00AD22E7">
      <w:pPr>
        <w:shd w:val="clear" w:color="auto" w:fill="FFFFFF"/>
        <w:spacing w:after="324" w:line="240" w:lineRule="auto"/>
        <w:ind w:firstLine="360"/>
        <w:rPr>
          <w:rFonts w:ascii="Times New Roman" w:eastAsia="Malgun Gothic" w:hAnsi="Times New Roman" w:cs="Times New Roman"/>
          <w:color w:val="000000"/>
        </w:rPr>
      </w:pPr>
      <w:r>
        <w:rPr>
          <w:rFonts w:ascii="Times New Roman" w:eastAsia="Malgun Gothic" w:hAnsi="Times New Roman" w:cs="Times New Roman"/>
          <w:color w:val="000000"/>
        </w:rPr>
        <w:t xml:space="preserve"> </w:t>
      </w:r>
      <w:r w:rsidR="00897241">
        <w:rPr>
          <w:rFonts w:ascii="Times New Roman" w:eastAsia="Malgun Gothic" w:hAnsi="Times New Roman" w:cs="Times New Roman"/>
          <w:color w:val="000000"/>
        </w:rPr>
        <w:t xml:space="preserve">By changing to Tier III will stop the issue of unexpected outages. </w:t>
      </w:r>
      <w:r w:rsidR="00D178E4" w:rsidRPr="00D178E4">
        <w:rPr>
          <w:rFonts w:ascii="Times New Roman" w:eastAsia="Malgun Gothic" w:hAnsi="Times New Roman" w:cs="Times New Roman"/>
          <w:color w:val="000000"/>
        </w:rPr>
        <w:t>The issue of unexpected outages has been a problematic occurrence with the ERP system 10 times already over the past year in our organization. These serious issues will continue if we do not mak</w:t>
      </w:r>
      <w:r w:rsidR="005B2EBB">
        <w:rPr>
          <w:rFonts w:ascii="Times New Roman" w:eastAsia="Malgun Gothic" w:hAnsi="Times New Roman" w:cs="Times New Roman"/>
          <w:color w:val="000000"/>
        </w:rPr>
        <w:t xml:space="preserve">e the necessary upgrades to Tier III </w:t>
      </w:r>
      <w:r w:rsidR="002B33A5">
        <w:rPr>
          <w:rFonts w:ascii="Times New Roman" w:eastAsia="Malgun Gothic" w:hAnsi="Times New Roman" w:cs="Times New Roman"/>
          <w:color w:val="000000"/>
        </w:rPr>
        <w:t xml:space="preserve">data center. </w:t>
      </w:r>
      <w:r>
        <w:rPr>
          <w:rFonts w:ascii="Times New Roman" w:eastAsia="Malgun Gothic" w:hAnsi="Times New Roman" w:cs="Times New Roman"/>
          <w:color w:val="000000"/>
        </w:rPr>
        <w:t>T</w:t>
      </w:r>
      <w:r w:rsidR="00D178E4" w:rsidRPr="00D178E4">
        <w:rPr>
          <w:rFonts w:ascii="Times New Roman" w:eastAsia="Malgun Gothic" w:hAnsi="Times New Roman" w:cs="Times New Roman"/>
          <w:color w:val="000000"/>
        </w:rPr>
        <w:t xml:space="preserve">he difference between Tier I and Tier III, and best fit for our company would be Tier III, because </w:t>
      </w:r>
      <w:r w:rsidR="008F600D">
        <w:rPr>
          <w:rFonts w:ascii="Times New Roman" w:eastAsia="Malgun Gothic" w:hAnsi="Times New Roman" w:cs="Times New Roman"/>
          <w:color w:val="000000"/>
        </w:rPr>
        <w:t xml:space="preserve">the efficiency of having 99.98% uptime and multiple distribution path can increase work availability and </w:t>
      </w:r>
      <w:r w:rsidR="00D178E4" w:rsidRPr="00D178E4">
        <w:rPr>
          <w:rFonts w:ascii="Times New Roman" w:eastAsia="Malgun Gothic" w:hAnsi="Times New Roman" w:cs="Times New Roman"/>
          <w:color w:val="000000"/>
        </w:rPr>
        <w:t xml:space="preserve">it saves downtime costs </w:t>
      </w:r>
      <w:r w:rsidR="008F600D">
        <w:rPr>
          <w:rFonts w:ascii="Times New Roman" w:eastAsia="Malgun Gothic" w:hAnsi="Times New Roman" w:cs="Times New Roman"/>
          <w:color w:val="000000"/>
        </w:rPr>
        <w:t>$24,114,528 annually.</w:t>
      </w:r>
      <w:r w:rsidR="00D178E4" w:rsidRPr="00D178E4">
        <w:rPr>
          <w:rFonts w:ascii="Times New Roman" w:eastAsia="Malgun Gothic" w:hAnsi="Times New Roman" w:cs="Times New Roman"/>
          <w:color w:val="000000"/>
        </w:rPr>
        <w:t xml:space="preserve">     </w:t>
      </w:r>
    </w:p>
    <w:p w:rsidR="00D178E4" w:rsidRPr="00D178E4" w:rsidRDefault="00D178E4" w:rsidP="00D178E4">
      <w:pPr>
        <w:shd w:val="clear" w:color="auto" w:fill="FFFFFF"/>
        <w:spacing w:after="324" w:line="240" w:lineRule="auto"/>
        <w:ind w:firstLine="360"/>
        <w:rPr>
          <w:rFonts w:ascii="Times New Roman" w:eastAsia="Malgun Gothic" w:hAnsi="Times New Roman" w:cs="Times New Roman"/>
          <w:color w:val="000000"/>
        </w:rPr>
      </w:pPr>
      <w:r w:rsidRPr="00D178E4">
        <w:rPr>
          <w:rFonts w:ascii="Times New Roman" w:eastAsia="Malgun Gothic" w:hAnsi="Times New Roman" w:cs="Times New Roman"/>
          <w:color w:val="000000"/>
        </w:rPr>
        <w:t xml:space="preserve">The </w:t>
      </w:r>
      <w:r w:rsidR="00AD22E7">
        <w:rPr>
          <w:rFonts w:ascii="Times New Roman" w:eastAsia="Malgun Gothic" w:hAnsi="Times New Roman" w:cs="Times New Roman"/>
          <w:color w:val="000000"/>
        </w:rPr>
        <w:t xml:space="preserve">difference in running </w:t>
      </w:r>
      <w:r w:rsidR="000C03B1" w:rsidRPr="00C7087D">
        <w:rPr>
          <w:rFonts w:ascii="Times New Roman" w:eastAsia="Malgun Gothic" w:hAnsi="Times New Roman" w:cs="Times New Roman"/>
          <w:color w:val="000000"/>
        </w:rPr>
        <w:t>Tier I and Tier III data center</w:t>
      </w:r>
      <w:r w:rsidR="00AD22E7">
        <w:rPr>
          <w:rFonts w:ascii="Times New Roman" w:eastAsia="Malgun Gothic" w:hAnsi="Times New Roman" w:cs="Times New Roman"/>
          <w:color w:val="000000"/>
        </w:rPr>
        <w:t>s</w:t>
      </w:r>
      <w:r w:rsidR="000C03B1" w:rsidRPr="00C7087D">
        <w:rPr>
          <w:rFonts w:ascii="Times New Roman" w:eastAsia="Malgun Gothic" w:hAnsi="Times New Roman" w:cs="Times New Roman"/>
          <w:color w:val="000000"/>
        </w:rPr>
        <w:t xml:space="preserve"> </w:t>
      </w:r>
      <w:r w:rsidR="00AD22E7">
        <w:rPr>
          <w:rFonts w:ascii="Times New Roman" w:eastAsia="Malgun Gothic" w:hAnsi="Times New Roman" w:cs="Times New Roman"/>
          <w:color w:val="000000"/>
        </w:rPr>
        <w:t xml:space="preserve">is </w:t>
      </w:r>
      <w:r w:rsidRPr="00D178E4">
        <w:rPr>
          <w:rFonts w:ascii="Times New Roman" w:eastAsia="Malgun Gothic" w:hAnsi="Times New Roman" w:cs="Times New Roman"/>
          <w:color w:val="000000"/>
        </w:rPr>
        <w:t xml:space="preserve">that Tier I has 99.67% uptime while Tier III has 99.98% uptime, resulting in 27.2 hours of </w:t>
      </w:r>
      <w:r w:rsidR="005B2EBB">
        <w:rPr>
          <w:rFonts w:ascii="Times New Roman" w:eastAsia="Malgun Gothic" w:hAnsi="Times New Roman" w:cs="Times New Roman"/>
          <w:color w:val="000000"/>
        </w:rPr>
        <w:t>less downtime than Tier I</w:t>
      </w:r>
      <w:r w:rsidRPr="00D178E4">
        <w:rPr>
          <w:rFonts w:ascii="Times New Roman" w:eastAsia="Malgun Gothic" w:hAnsi="Times New Roman" w:cs="Times New Roman"/>
          <w:color w:val="000000"/>
        </w:rPr>
        <w:t xml:space="preserve">. </w:t>
      </w:r>
      <w:r w:rsidR="00AD22E7">
        <w:rPr>
          <w:rFonts w:ascii="Times New Roman" w:eastAsia="Malgun Gothic" w:hAnsi="Times New Roman" w:cs="Times New Roman"/>
          <w:color w:val="000000"/>
        </w:rPr>
        <w:t>By running a Tier I data center with only single distribution path</w:t>
      </w:r>
      <w:r w:rsidR="00897241">
        <w:rPr>
          <w:rFonts w:ascii="Times New Roman" w:eastAsia="Malgun Gothic" w:hAnsi="Times New Roman" w:cs="Times New Roman"/>
          <w:color w:val="000000"/>
        </w:rPr>
        <w:t xml:space="preserve"> and has one back-up generator</w:t>
      </w:r>
      <w:r w:rsidRPr="00D178E4">
        <w:rPr>
          <w:rFonts w:ascii="Times New Roman" w:eastAsia="Malgun Gothic" w:hAnsi="Times New Roman" w:cs="Times New Roman"/>
          <w:color w:val="000000"/>
        </w:rPr>
        <w:t>.</w:t>
      </w:r>
      <w:r w:rsidR="00897241">
        <w:rPr>
          <w:rFonts w:ascii="Times New Roman" w:eastAsia="Malgun Gothic" w:hAnsi="Times New Roman" w:cs="Times New Roman"/>
          <w:color w:val="000000"/>
        </w:rPr>
        <w:t xml:space="preserve"> </w:t>
      </w:r>
      <w:r w:rsidRPr="00D178E4">
        <w:rPr>
          <w:rFonts w:ascii="Times New Roman" w:eastAsia="Malgun Gothic" w:hAnsi="Times New Roman" w:cs="Times New Roman"/>
          <w:color w:val="000000"/>
        </w:rPr>
        <w:t>“An “N” system is not redundant at all, and the failure of any component will cause an outage, effectively describing a tier 1 type facility. N+1 and 2N, represent increasing levels of component redundan</w:t>
      </w:r>
      <w:r w:rsidR="00AD22E7">
        <w:rPr>
          <w:rFonts w:ascii="Times New Roman" w:eastAsia="Malgun Gothic" w:hAnsi="Times New Roman" w:cs="Times New Roman"/>
          <w:color w:val="000000"/>
        </w:rPr>
        <w:t>cies and power paths” (Neudorfer).</w:t>
      </w:r>
      <w:r w:rsidRPr="00D178E4">
        <w:rPr>
          <w:rFonts w:ascii="Times New Roman" w:eastAsia="Malgun Gothic" w:hAnsi="Times New Roman" w:cs="Times New Roman"/>
          <w:color w:val="000000"/>
        </w:rPr>
        <w:t xml:space="preserve"> Tier III has multiple independent distribution path</w:t>
      </w:r>
      <w:r w:rsidR="00897241">
        <w:rPr>
          <w:rFonts w:ascii="Times New Roman" w:eastAsia="Malgun Gothic" w:hAnsi="Times New Roman" w:cs="Times New Roman"/>
          <w:color w:val="000000"/>
        </w:rPr>
        <w:t>s with one</w:t>
      </w:r>
      <w:r w:rsidRPr="00D178E4">
        <w:rPr>
          <w:rFonts w:ascii="Times New Roman" w:eastAsia="Malgun Gothic" w:hAnsi="Times New Roman" w:cs="Times New Roman"/>
          <w:color w:val="000000"/>
        </w:rPr>
        <w:t xml:space="preserve"> back-up generator. This helps to protect the system from outages and increase work availability.     </w:t>
      </w:r>
    </w:p>
    <w:p w:rsidR="00516680" w:rsidRDefault="00D178E4" w:rsidP="00D178E4">
      <w:pPr>
        <w:shd w:val="clear" w:color="auto" w:fill="FFFFFF"/>
        <w:spacing w:after="324" w:line="240" w:lineRule="auto"/>
        <w:rPr>
          <w:rFonts w:ascii="Times New Roman" w:eastAsia="Malgun Gothic" w:hAnsi="Times New Roman" w:cs="Times New Roman"/>
          <w:color w:val="000000"/>
        </w:rPr>
      </w:pPr>
      <w:bookmarkStart w:id="0" w:name="h.gjdgxs"/>
      <w:bookmarkEnd w:id="0"/>
      <w:r w:rsidRPr="00D178E4">
        <w:rPr>
          <w:rFonts w:ascii="Times New Roman" w:eastAsia="Malgun Gothic" w:hAnsi="Times New Roman" w:cs="Times New Roman"/>
          <w:color w:val="000000"/>
        </w:rPr>
        <w:t>        Running a Tier I data center costs $14,800 per minute of downtime. By comparing Tier I and Tier III, the cost of downtime f</w:t>
      </w:r>
      <w:r w:rsidR="00AD22E7">
        <w:rPr>
          <w:rFonts w:ascii="Times New Roman" w:eastAsia="Malgun Gothic" w:hAnsi="Times New Roman" w:cs="Times New Roman"/>
          <w:color w:val="000000"/>
        </w:rPr>
        <w:t xml:space="preserve">or </w:t>
      </w:r>
      <w:r w:rsidR="00AB4563">
        <w:rPr>
          <w:rFonts w:ascii="Times New Roman" w:eastAsia="Malgun Gothic" w:hAnsi="Times New Roman" w:cs="Times New Roman"/>
          <w:color w:val="000000"/>
        </w:rPr>
        <w:t xml:space="preserve">Tier I would be $25,670,304 </w:t>
      </w:r>
      <w:r w:rsidR="00AB4563" w:rsidRPr="00D178E4">
        <w:rPr>
          <w:rFonts w:ascii="Times New Roman" w:eastAsia="Malgun Gothic" w:hAnsi="Times New Roman" w:cs="Times New Roman"/>
          <w:color w:val="000000"/>
        </w:rPr>
        <w:t>per</w:t>
      </w:r>
      <w:r w:rsidR="00AD22E7">
        <w:rPr>
          <w:rFonts w:ascii="Times New Roman" w:eastAsia="Malgun Gothic" w:hAnsi="Times New Roman" w:cs="Times New Roman"/>
          <w:color w:val="000000"/>
        </w:rPr>
        <w:t xml:space="preserve"> year. </w:t>
      </w:r>
      <w:r w:rsidR="00897241">
        <w:rPr>
          <w:rFonts w:ascii="Times New Roman" w:eastAsia="Malgun Gothic" w:hAnsi="Times New Roman" w:cs="Times New Roman"/>
          <w:color w:val="000000"/>
        </w:rPr>
        <w:t>B</w:t>
      </w:r>
      <w:r w:rsidR="00AD22E7">
        <w:rPr>
          <w:rFonts w:ascii="Times New Roman" w:eastAsia="Malgun Gothic" w:hAnsi="Times New Roman" w:cs="Times New Roman"/>
          <w:color w:val="000000"/>
        </w:rPr>
        <w:t xml:space="preserve">uilding a </w:t>
      </w:r>
      <w:r w:rsidRPr="00D178E4">
        <w:rPr>
          <w:rFonts w:ascii="Times New Roman" w:eastAsia="Malgun Gothic" w:hAnsi="Times New Roman" w:cs="Times New Roman"/>
          <w:color w:val="000000"/>
        </w:rPr>
        <w:t>Tier III data center has far less of an impact on the fina</w:t>
      </w:r>
      <w:r w:rsidR="00897241">
        <w:rPr>
          <w:rFonts w:ascii="Times New Roman" w:eastAsia="Malgun Gothic" w:hAnsi="Times New Roman" w:cs="Times New Roman"/>
          <w:color w:val="000000"/>
        </w:rPr>
        <w:t>ncial problems compared to the Tier I</w:t>
      </w:r>
      <w:r w:rsidRPr="00D178E4">
        <w:rPr>
          <w:rFonts w:ascii="Times New Roman" w:eastAsia="Malgun Gothic" w:hAnsi="Times New Roman" w:cs="Times New Roman"/>
          <w:color w:val="000000"/>
        </w:rPr>
        <w:t xml:space="preserve"> system.</w:t>
      </w:r>
      <w:r w:rsidR="00516680">
        <w:rPr>
          <w:rFonts w:ascii="Times New Roman" w:eastAsia="Malgun Gothic" w:hAnsi="Times New Roman" w:cs="Times New Roman"/>
          <w:color w:val="000000"/>
        </w:rPr>
        <w:t xml:space="preserve"> </w:t>
      </w:r>
      <w:r w:rsidR="00897241">
        <w:rPr>
          <w:rFonts w:ascii="Times New Roman" w:eastAsia="Malgun Gothic" w:hAnsi="Times New Roman" w:cs="Times New Roman"/>
          <w:color w:val="000000"/>
        </w:rPr>
        <w:t>T</w:t>
      </w:r>
      <w:r w:rsidR="0024686E">
        <w:rPr>
          <w:rFonts w:ascii="Times New Roman" w:eastAsia="Malgun Gothic" w:hAnsi="Times New Roman" w:cs="Times New Roman"/>
          <w:color w:val="000000"/>
        </w:rPr>
        <w:t>he cost of downt</w:t>
      </w:r>
      <w:r w:rsidR="00FD3974">
        <w:rPr>
          <w:rFonts w:ascii="Times New Roman" w:eastAsia="Malgun Gothic" w:hAnsi="Times New Roman" w:cs="Times New Roman"/>
          <w:color w:val="000000"/>
        </w:rPr>
        <w:t>ime can save up to $24,114,528. By looking at</w:t>
      </w:r>
      <w:r w:rsidR="00897241">
        <w:rPr>
          <w:rFonts w:ascii="Times New Roman" w:eastAsia="Malgun Gothic" w:hAnsi="Times New Roman" w:cs="Times New Roman"/>
          <w:color w:val="000000"/>
        </w:rPr>
        <w:t xml:space="preserve"> a</w:t>
      </w:r>
      <w:r w:rsidR="00FD3974">
        <w:rPr>
          <w:rFonts w:ascii="Times New Roman" w:eastAsia="Malgun Gothic" w:hAnsi="Times New Roman" w:cs="Times New Roman"/>
          <w:color w:val="000000"/>
        </w:rPr>
        <w:t xml:space="preserve"> three year period,</w:t>
      </w:r>
      <w:r w:rsidR="004A4618">
        <w:rPr>
          <w:rFonts w:ascii="Times New Roman" w:eastAsia="Malgun Gothic" w:hAnsi="Times New Roman" w:cs="Times New Roman"/>
          <w:color w:val="000000"/>
        </w:rPr>
        <w:t xml:space="preserve"> </w:t>
      </w:r>
      <w:r w:rsidR="00FD3974">
        <w:rPr>
          <w:rFonts w:ascii="Times New Roman" w:eastAsia="Malgun Gothic" w:hAnsi="Times New Roman" w:cs="Times New Roman"/>
          <w:color w:val="000000"/>
        </w:rPr>
        <w:t>the cost of building Tier III is $35,000,000 and</w:t>
      </w:r>
      <w:r w:rsidR="00897241">
        <w:rPr>
          <w:rFonts w:ascii="Times New Roman" w:eastAsia="Malgun Gothic" w:hAnsi="Times New Roman" w:cs="Times New Roman"/>
          <w:color w:val="000000"/>
        </w:rPr>
        <w:t xml:space="preserve"> will</w:t>
      </w:r>
      <w:r w:rsidR="00FD3974">
        <w:rPr>
          <w:rFonts w:ascii="Times New Roman" w:eastAsia="Malgun Gothic" w:hAnsi="Times New Roman" w:cs="Times New Roman"/>
          <w:color w:val="000000"/>
        </w:rPr>
        <w:t xml:space="preserve"> take one year to complete</w:t>
      </w:r>
      <w:r w:rsidR="00897241">
        <w:rPr>
          <w:rFonts w:ascii="Times New Roman" w:eastAsia="Malgun Gothic" w:hAnsi="Times New Roman" w:cs="Times New Roman"/>
          <w:color w:val="000000"/>
        </w:rPr>
        <w:t>. The</w:t>
      </w:r>
      <w:r w:rsidR="00FD3974">
        <w:rPr>
          <w:rFonts w:ascii="Times New Roman" w:eastAsia="Malgun Gothic" w:hAnsi="Times New Roman" w:cs="Times New Roman"/>
          <w:color w:val="000000"/>
        </w:rPr>
        <w:t xml:space="preserve"> benefits over </w:t>
      </w:r>
      <w:r w:rsidR="00897241">
        <w:rPr>
          <w:rFonts w:ascii="Times New Roman" w:eastAsia="Malgun Gothic" w:hAnsi="Times New Roman" w:cs="Times New Roman"/>
          <w:color w:val="000000"/>
        </w:rPr>
        <w:t>the remaining 2 years</w:t>
      </w:r>
      <w:r w:rsidR="00FD3974">
        <w:rPr>
          <w:rFonts w:ascii="Times New Roman" w:eastAsia="Malgun Gothic" w:hAnsi="Times New Roman" w:cs="Times New Roman"/>
          <w:color w:val="000000"/>
        </w:rPr>
        <w:t xml:space="preserve"> would be $48,229,056. </w:t>
      </w:r>
      <w:r w:rsidR="00F91689">
        <w:rPr>
          <w:rFonts w:ascii="Times New Roman" w:eastAsia="Malgun Gothic" w:hAnsi="Times New Roman" w:cs="Times New Roman"/>
          <w:color w:val="000000"/>
        </w:rPr>
        <w:t>By switching Tier I to Tier III data center, t</w:t>
      </w:r>
      <w:r w:rsidR="00FD3974">
        <w:rPr>
          <w:rFonts w:ascii="Times New Roman" w:eastAsia="Malgun Gothic" w:hAnsi="Times New Roman" w:cs="Times New Roman"/>
          <w:color w:val="000000"/>
        </w:rPr>
        <w:t>he company will</w:t>
      </w:r>
      <w:r w:rsidR="00897241">
        <w:rPr>
          <w:rFonts w:ascii="Times New Roman" w:eastAsia="Malgun Gothic" w:hAnsi="Times New Roman" w:cs="Times New Roman"/>
          <w:color w:val="000000"/>
        </w:rPr>
        <w:t xml:space="preserve"> incur</w:t>
      </w:r>
      <w:r w:rsidR="00FD3974">
        <w:rPr>
          <w:rFonts w:ascii="Times New Roman" w:eastAsia="Malgun Gothic" w:hAnsi="Times New Roman" w:cs="Times New Roman"/>
          <w:color w:val="000000"/>
        </w:rPr>
        <w:t xml:space="preserve"> a ROI of 38% and three year net benefits of $13,229,056.</w:t>
      </w:r>
      <w:r w:rsidR="004A4618">
        <w:rPr>
          <w:rFonts w:ascii="Times New Roman" w:eastAsia="Malgun Gothic" w:hAnsi="Times New Roman" w:cs="Times New Roman"/>
          <w:color w:val="000000"/>
        </w:rPr>
        <w:t xml:space="preserve"> </w:t>
      </w:r>
      <w:r w:rsidR="00FD3974">
        <w:rPr>
          <w:rFonts w:ascii="Times New Roman" w:eastAsia="Malgun Gothic" w:hAnsi="Times New Roman" w:cs="Times New Roman"/>
          <w:color w:val="000000"/>
        </w:rPr>
        <w:t xml:space="preserve"> </w:t>
      </w:r>
    </w:p>
    <w:p w:rsidR="005B2EBB" w:rsidRPr="00D178E4" w:rsidRDefault="005B2EBB" w:rsidP="00D178E4">
      <w:pPr>
        <w:shd w:val="clear" w:color="auto" w:fill="FFFFFF"/>
        <w:spacing w:after="324" w:line="240" w:lineRule="auto"/>
        <w:rPr>
          <w:rFonts w:ascii="Times New Roman" w:eastAsia="Malgun Gothic" w:hAnsi="Times New Roman" w:cs="Times New Roman"/>
          <w:color w:val="000000"/>
        </w:rPr>
      </w:pPr>
    </w:p>
    <w:p w:rsidR="00AD22E7" w:rsidRDefault="00AD22E7" w:rsidP="00D178E4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AD22E7" w:rsidRDefault="00AD22E7" w:rsidP="00D178E4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AD22E7" w:rsidRDefault="00AD22E7" w:rsidP="00D178E4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AD22E7" w:rsidRDefault="00AD22E7" w:rsidP="00D178E4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AD22E7" w:rsidRDefault="00AD22E7" w:rsidP="00D178E4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AD22E7" w:rsidRDefault="00AD22E7" w:rsidP="00D178E4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AD22E7" w:rsidRDefault="00AD22E7" w:rsidP="00D178E4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AD22E7" w:rsidRDefault="00AD22E7" w:rsidP="00D178E4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CD2EB0" w:rsidRDefault="00CD2EB0" w:rsidP="00D178E4">
      <w:pPr>
        <w:shd w:val="clear" w:color="auto" w:fill="FFFFFF"/>
        <w:spacing w:line="240" w:lineRule="auto"/>
        <w:rPr>
          <w:rFonts w:ascii="Calibri" w:eastAsia="Malgun Gothic" w:hAnsi="Calibri" w:cs="Times New Roman"/>
          <w:color w:val="0563C1"/>
          <w:u w:val="single"/>
        </w:rPr>
      </w:pPr>
    </w:p>
    <w:p w:rsidR="000C03B1" w:rsidRDefault="000C03B1" w:rsidP="00D178E4">
      <w:pPr>
        <w:shd w:val="clear" w:color="auto" w:fill="FFFFFF"/>
        <w:spacing w:line="240" w:lineRule="auto"/>
        <w:rPr>
          <w:rFonts w:ascii="Calibri" w:eastAsia="Malgun Gothic" w:hAnsi="Calibri" w:cs="Times New Roman"/>
          <w:color w:val="0563C1"/>
          <w:u w:val="single"/>
        </w:rPr>
      </w:pPr>
    </w:p>
    <w:tbl>
      <w:tblPr>
        <w:tblStyle w:val="TableGrid"/>
        <w:tblpPr w:leftFromText="180" w:rightFromText="180" w:vertAnchor="text" w:horzAnchor="margin" w:tblpY="123"/>
        <w:tblW w:w="9450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AD22E7" w:rsidTr="00AD22E7">
        <w:trPr>
          <w:trHeight w:val="870"/>
        </w:trPr>
        <w:tc>
          <w:tcPr>
            <w:tcW w:w="1890" w:type="dxa"/>
          </w:tcPr>
          <w:p w:rsidR="00AD22E7" w:rsidRPr="003065DE" w:rsidRDefault="00AD22E7" w:rsidP="00AD22E7">
            <w:pPr>
              <w:rPr>
                <w:rFonts w:ascii="Times New Roman" w:eastAsia="Malgun Gothic" w:hAnsi="Times New Roman" w:cs="Times New Roman"/>
                <w:color w:val="0563C1"/>
              </w:rPr>
            </w:pPr>
          </w:p>
        </w:tc>
        <w:tc>
          <w:tcPr>
            <w:tcW w:w="1890" w:type="dxa"/>
          </w:tcPr>
          <w:p w:rsidR="00AD22E7" w:rsidRPr="003F5153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  <w:r w:rsidRPr="003F5153">
              <w:rPr>
                <w:rFonts w:ascii="Times New Roman" w:eastAsia="Malgun Gothic" w:hAnsi="Times New Roman" w:cs="Times New Roman"/>
                <w:color w:val="0563C1"/>
                <w:u w:val="single"/>
              </w:rPr>
              <w:t xml:space="preserve"> Minutes in a year</w:t>
            </w:r>
          </w:p>
        </w:tc>
        <w:tc>
          <w:tcPr>
            <w:tcW w:w="1890" w:type="dxa"/>
          </w:tcPr>
          <w:p w:rsidR="00AD22E7" w:rsidRPr="003F5153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  <w:r w:rsidRPr="003F5153">
              <w:rPr>
                <w:rFonts w:ascii="Times New Roman" w:eastAsia="Malgun Gothic" w:hAnsi="Times New Roman" w:cs="Times New Roman"/>
                <w:color w:val="0563C1"/>
                <w:u w:val="single"/>
              </w:rPr>
              <w:t xml:space="preserve">Availability </w:t>
            </w:r>
          </w:p>
        </w:tc>
        <w:tc>
          <w:tcPr>
            <w:tcW w:w="1890" w:type="dxa"/>
          </w:tcPr>
          <w:p w:rsidR="00AD22E7" w:rsidRPr="003F5153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  <w:r w:rsidRPr="003F5153">
              <w:rPr>
                <w:rFonts w:ascii="Times New Roman" w:eastAsia="Malgun Gothic" w:hAnsi="Times New Roman" w:cs="Times New Roman"/>
                <w:color w:val="0563C1"/>
                <w:u w:val="single"/>
              </w:rPr>
              <w:t>Downtime (Min/Year)</w:t>
            </w:r>
          </w:p>
        </w:tc>
        <w:tc>
          <w:tcPr>
            <w:tcW w:w="1890" w:type="dxa"/>
          </w:tcPr>
          <w:p w:rsidR="00AD22E7" w:rsidRPr="003F5153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  <w:r w:rsidRPr="003F5153">
              <w:rPr>
                <w:rFonts w:ascii="Times New Roman" w:eastAsia="Malgun Gothic" w:hAnsi="Times New Roman" w:cs="Times New Roman"/>
                <w:color w:val="0563C1"/>
                <w:u w:val="single"/>
              </w:rPr>
              <w:t>Downtime Cost</w:t>
            </w:r>
          </w:p>
        </w:tc>
      </w:tr>
      <w:tr w:rsidR="00AD22E7" w:rsidTr="00AD22E7">
        <w:trPr>
          <w:trHeight w:val="448"/>
        </w:trPr>
        <w:tc>
          <w:tcPr>
            <w:tcW w:w="1890" w:type="dxa"/>
          </w:tcPr>
          <w:p w:rsidR="00AD22E7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Malgun Gothic" w:hAnsi="Times New Roman" w:cs="Times New Roman"/>
                <w:color w:val="0563C1"/>
                <w:u w:val="single"/>
              </w:rPr>
              <w:t>Tier I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525,600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99.67%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1734.48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$25,670,304</w:t>
            </w:r>
          </w:p>
        </w:tc>
      </w:tr>
      <w:tr w:rsidR="00AD22E7" w:rsidTr="00AD22E7">
        <w:trPr>
          <w:trHeight w:val="421"/>
        </w:trPr>
        <w:tc>
          <w:tcPr>
            <w:tcW w:w="1890" w:type="dxa"/>
          </w:tcPr>
          <w:p w:rsidR="00AD22E7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Malgun Gothic" w:hAnsi="Times New Roman" w:cs="Times New Roman"/>
                <w:color w:val="0563C1"/>
                <w:u w:val="single"/>
              </w:rPr>
              <w:t>Tier III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525,600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99.98%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105.12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$1,555,776</w:t>
            </w:r>
          </w:p>
        </w:tc>
      </w:tr>
      <w:tr w:rsidR="00AD22E7" w:rsidTr="00AD22E7">
        <w:trPr>
          <w:trHeight w:val="448"/>
        </w:trPr>
        <w:tc>
          <w:tcPr>
            <w:tcW w:w="1890" w:type="dxa"/>
          </w:tcPr>
          <w:p w:rsidR="00AD22E7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</w:p>
        </w:tc>
        <w:tc>
          <w:tcPr>
            <w:tcW w:w="1890" w:type="dxa"/>
          </w:tcPr>
          <w:p w:rsidR="00AD22E7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</w:p>
        </w:tc>
        <w:tc>
          <w:tcPr>
            <w:tcW w:w="1890" w:type="dxa"/>
          </w:tcPr>
          <w:p w:rsidR="00AD22E7" w:rsidRDefault="00AD22E7" w:rsidP="00AD22E7">
            <w:pPr>
              <w:rPr>
                <w:rFonts w:ascii="Times New Roman" w:eastAsia="Malgun Gothic" w:hAnsi="Times New Roman" w:cs="Times New Roman"/>
                <w:color w:val="0563C1"/>
                <w:u w:val="single"/>
              </w:rPr>
            </w:pPr>
          </w:p>
        </w:tc>
        <w:tc>
          <w:tcPr>
            <w:tcW w:w="1890" w:type="dxa"/>
          </w:tcPr>
          <w:p w:rsidR="00AD22E7" w:rsidRPr="00681265" w:rsidRDefault="00AD22E7" w:rsidP="00AD22E7">
            <w:pPr>
              <w:rPr>
                <w:rFonts w:ascii="Times New Roman" w:eastAsia="Malgun Gothic" w:hAnsi="Times New Roman" w:cs="Times New Roman"/>
                <w:color w:val="000000" w:themeColor="text1"/>
                <w:u w:val="single"/>
              </w:rPr>
            </w:pPr>
            <w:r w:rsidRPr="00681265">
              <w:rPr>
                <w:rFonts w:ascii="Times New Roman" w:eastAsia="Malgun Gothic" w:hAnsi="Times New Roman" w:cs="Times New Roman"/>
                <w:color w:val="2E74B5" w:themeColor="accent1" w:themeShade="BF"/>
                <w:u w:val="single"/>
              </w:rPr>
              <w:t>Saving</w:t>
            </w:r>
          </w:p>
        </w:tc>
        <w:tc>
          <w:tcPr>
            <w:tcW w:w="1890" w:type="dxa"/>
          </w:tcPr>
          <w:p w:rsidR="00AD22E7" w:rsidRPr="00681265" w:rsidRDefault="00AD22E7" w:rsidP="00AD22E7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681265">
              <w:rPr>
                <w:rFonts w:ascii="Times New Roman" w:eastAsia="Malgun Gothic" w:hAnsi="Times New Roman" w:cs="Times New Roman"/>
                <w:color w:val="000000" w:themeColor="text1"/>
              </w:rPr>
              <w:t>$24,114,528</w:t>
            </w:r>
          </w:p>
        </w:tc>
      </w:tr>
    </w:tbl>
    <w:p w:rsidR="000C03B1" w:rsidRDefault="000C03B1" w:rsidP="00D178E4">
      <w:pPr>
        <w:shd w:val="clear" w:color="auto" w:fill="FFFFFF"/>
        <w:spacing w:line="240" w:lineRule="auto"/>
        <w:rPr>
          <w:rFonts w:ascii="Calibri" w:eastAsia="Malgun Gothic" w:hAnsi="Calibri" w:cs="Times New Roman"/>
          <w:color w:val="0563C1"/>
          <w:u w:val="single"/>
        </w:rPr>
      </w:pPr>
    </w:p>
    <w:p w:rsidR="000C03B1" w:rsidRDefault="000C03B1" w:rsidP="00D178E4">
      <w:pPr>
        <w:shd w:val="clear" w:color="auto" w:fill="FFFFFF"/>
        <w:spacing w:line="240" w:lineRule="auto"/>
        <w:rPr>
          <w:rFonts w:ascii="Calibri" w:eastAsia="Malgun Gothic" w:hAnsi="Calibri" w:cs="Times New Roman"/>
          <w:color w:val="0563C1"/>
          <w:u w:val="single"/>
        </w:rPr>
      </w:pPr>
    </w:p>
    <w:p w:rsidR="000C03B1" w:rsidRPr="00D178E4" w:rsidRDefault="000C03B1" w:rsidP="00D178E4">
      <w:pPr>
        <w:shd w:val="clear" w:color="auto" w:fill="FFFFFF"/>
        <w:spacing w:line="240" w:lineRule="auto"/>
        <w:rPr>
          <w:rFonts w:ascii="Calibri" w:eastAsia="Malgun Gothic" w:hAnsi="Calibri" w:cs="Times New Roman"/>
          <w:color w:val="000000"/>
        </w:rPr>
      </w:pPr>
    </w:p>
    <w:p w:rsidR="002E5021" w:rsidRDefault="002E5021">
      <w:bookmarkStart w:id="1" w:name="9f72c5cd050e4e9265f087f3cfbe3ebf21d2e9cd"/>
      <w:bookmarkStart w:id="2" w:name="0"/>
      <w:bookmarkEnd w:id="1"/>
      <w:bookmarkEnd w:id="2"/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681265" w:rsidTr="00681265">
        <w:trPr>
          <w:trHeight w:val="565"/>
        </w:trPr>
        <w:tc>
          <w:tcPr>
            <w:tcW w:w="1890" w:type="dxa"/>
          </w:tcPr>
          <w:p w:rsidR="00681265" w:rsidRDefault="00681265"/>
        </w:tc>
        <w:tc>
          <w:tcPr>
            <w:tcW w:w="1890" w:type="dxa"/>
          </w:tcPr>
          <w:p w:rsidR="00681265" w:rsidRPr="00681265" w:rsidRDefault="0068126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1</w:t>
            </w:r>
          </w:p>
        </w:tc>
        <w:tc>
          <w:tcPr>
            <w:tcW w:w="1890" w:type="dxa"/>
          </w:tcPr>
          <w:p w:rsidR="00681265" w:rsidRPr="00681265" w:rsidRDefault="0068126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2</w:t>
            </w:r>
          </w:p>
        </w:tc>
        <w:tc>
          <w:tcPr>
            <w:tcW w:w="1890" w:type="dxa"/>
          </w:tcPr>
          <w:p w:rsidR="00681265" w:rsidRPr="00681265" w:rsidRDefault="0068126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3</w:t>
            </w:r>
          </w:p>
        </w:tc>
        <w:tc>
          <w:tcPr>
            <w:tcW w:w="1890" w:type="dxa"/>
          </w:tcPr>
          <w:p w:rsidR="00681265" w:rsidRPr="00681265" w:rsidRDefault="0068126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Total</w:t>
            </w:r>
          </w:p>
        </w:tc>
      </w:tr>
      <w:tr w:rsidR="00681265" w:rsidTr="00681265">
        <w:trPr>
          <w:trHeight w:val="533"/>
        </w:trPr>
        <w:tc>
          <w:tcPr>
            <w:tcW w:w="1890" w:type="dxa"/>
          </w:tcPr>
          <w:p w:rsidR="00681265" w:rsidRPr="00681265" w:rsidRDefault="0068126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Cost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$35,000,000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$0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$0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$35,000,000</w:t>
            </w:r>
          </w:p>
        </w:tc>
      </w:tr>
      <w:tr w:rsidR="00681265" w:rsidTr="00681265">
        <w:trPr>
          <w:trHeight w:val="565"/>
        </w:trPr>
        <w:tc>
          <w:tcPr>
            <w:tcW w:w="1890" w:type="dxa"/>
          </w:tcPr>
          <w:p w:rsidR="00681265" w:rsidRPr="00681265" w:rsidRDefault="0068126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Benefit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$0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$24,114,528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$24,114,528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$48,229,056</w:t>
            </w:r>
          </w:p>
        </w:tc>
      </w:tr>
      <w:tr w:rsidR="00681265" w:rsidTr="00681265">
        <w:trPr>
          <w:trHeight w:val="533"/>
        </w:trPr>
        <w:tc>
          <w:tcPr>
            <w:tcW w:w="1890" w:type="dxa"/>
          </w:tcPr>
          <w:p w:rsidR="00681265" w:rsidRPr="00681265" w:rsidRDefault="0068126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 xml:space="preserve">3 </w:t>
            </w:r>
            <w:proofErr w:type="spellStart"/>
            <w:r w:rsidRPr="00681265">
              <w:rPr>
                <w:color w:val="5B9BD5" w:themeColor="accent1"/>
                <w:u w:val="single"/>
              </w:rPr>
              <w:t>Yr</w:t>
            </w:r>
            <w:proofErr w:type="spellEnd"/>
            <w:r w:rsidRPr="00681265">
              <w:rPr>
                <w:color w:val="5B9BD5" w:themeColor="accent1"/>
                <w:u w:val="single"/>
              </w:rPr>
              <w:t xml:space="preserve"> Net Befits</w:t>
            </w: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</w:p>
        </w:tc>
        <w:tc>
          <w:tcPr>
            <w:tcW w:w="1890" w:type="dxa"/>
          </w:tcPr>
          <w:p w:rsidR="00681265" w:rsidRDefault="00681265" w:rsidP="00681265">
            <w:pPr>
              <w:jc w:val="center"/>
            </w:pPr>
            <w:r>
              <w:t>$13,229,056</w:t>
            </w:r>
          </w:p>
        </w:tc>
      </w:tr>
    </w:tbl>
    <w:p w:rsidR="00BF1E41" w:rsidRDefault="00BF1E41" w:rsidP="00BF1E41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</w:rPr>
      </w:pPr>
    </w:p>
    <w:p w:rsidR="00BF1E41" w:rsidRPr="00D178E4" w:rsidRDefault="00BF1E41" w:rsidP="00BF1E41">
      <w:pPr>
        <w:shd w:val="clear" w:color="auto" w:fill="FFFFFF"/>
        <w:spacing w:after="324" w:line="240" w:lineRule="auto"/>
        <w:jc w:val="center"/>
        <w:rPr>
          <w:rFonts w:ascii="Times New Roman" w:eastAsia="Malgun Gothic" w:hAnsi="Times New Roman" w:cs="Times New Roman"/>
          <w:color w:val="000000"/>
        </w:rPr>
      </w:pPr>
      <w:bookmarkStart w:id="3" w:name="_GoBack"/>
      <w:bookmarkEnd w:id="3"/>
      <w:r w:rsidRPr="00D178E4">
        <w:rPr>
          <w:rFonts w:ascii="Times New Roman" w:eastAsia="Malgun Gothic" w:hAnsi="Times New Roman" w:cs="Times New Roman"/>
          <w:b/>
          <w:bCs/>
          <w:color w:val="000000"/>
        </w:rPr>
        <w:t>Work cited</w:t>
      </w:r>
    </w:p>
    <w:p w:rsidR="00BF1E41" w:rsidRPr="00646BDE" w:rsidRDefault="00BF1E41" w:rsidP="00BF1E41">
      <w:pPr>
        <w:shd w:val="clear" w:color="auto" w:fill="FFFFFF"/>
        <w:spacing w:line="240" w:lineRule="auto"/>
        <w:rPr>
          <w:rFonts w:ascii="Times New Roman" w:hAnsi="Times New Roman" w:cs="Times New Roman"/>
          <w:lang w:val="en"/>
        </w:rPr>
      </w:pPr>
      <w:proofErr w:type="spellStart"/>
      <w:r w:rsidRPr="00646BDE">
        <w:rPr>
          <w:rFonts w:ascii="Times New Roman" w:hAnsi="Times New Roman" w:cs="Times New Roman"/>
          <w:lang w:val="en"/>
        </w:rPr>
        <w:t>Neudorfer</w:t>
      </w:r>
      <w:proofErr w:type="spellEnd"/>
      <w:r w:rsidRPr="00646BDE">
        <w:rPr>
          <w:rFonts w:ascii="Times New Roman" w:hAnsi="Times New Roman" w:cs="Times New Roman"/>
          <w:lang w:val="en"/>
        </w:rPr>
        <w:t xml:space="preserve">, Julius. "Understanding "Uptime" and Data Center Tier Levels." </w:t>
      </w:r>
      <w:r w:rsidRPr="00646BDE">
        <w:rPr>
          <w:rFonts w:ascii="Times New Roman" w:hAnsi="Times New Roman" w:cs="Times New Roman"/>
          <w:i/>
          <w:iCs/>
          <w:lang w:val="en"/>
        </w:rPr>
        <w:t>Data Center Knowledge RSS</w:t>
      </w:r>
      <w:r w:rsidRPr="00646BDE">
        <w:rPr>
          <w:rFonts w:ascii="Times New Roman" w:hAnsi="Times New Roman" w:cs="Times New Roman"/>
          <w:lang w:val="en"/>
        </w:rPr>
        <w:t xml:space="preserve">.  </w:t>
      </w:r>
    </w:p>
    <w:p w:rsidR="00BF1E41" w:rsidRPr="00646BDE" w:rsidRDefault="00BF1E41" w:rsidP="00BF1E41">
      <w:pPr>
        <w:shd w:val="clear" w:color="auto" w:fill="FFFFFF"/>
        <w:spacing w:line="240" w:lineRule="auto"/>
        <w:ind w:firstLine="720"/>
        <w:rPr>
          <w:rFonts w:ascii="Times New Roman" w:eastAsia="Malgun Gothic" w:hAnsi="Times New Roman" w:cs="Times New Roman"/>
          <w:color w:val="0072C6"/>
        </w:rPr>
      </w:pPr>
      <w:r w:rsidRPr="00646BDE">
        <w:rPr>
          <w:rFonts w:ascii="Times New Roman" w:hAnsi="Times New Roman" w:cs="Times New Roman"/>
          <w:lang w:val="en"/>
        </w:rPr>
        <w:t xml:space="preserve"> </w:t>
      </w:r>
      <w:proofErr w:type="spellStart"/>
      <w:proofErr w:type="gramStart"/>
      <w:r w:rsidRPr="00646BDE">
        <w:rPr>
          <w:rFonts w:ascii="Times New Roman" w:hAnsi="Times New Roman" w:cs="Times New Roman"/>
          <w:lang w:val="en"/>
        </w:rPr>
        <w:t>N.p</w:t>
      </w:r>
      <w:proofErr w:type="spellEnd"/>
      <w:proofErr w:type="gramEnd"/>
      <w:r w:rsidRPr="00646BDE">
        <w:rPr>
          <w:rFonts w:ascii="Times New Roman" w:hAnsi="Times New Roman" w:cs="Times New Roman"/>
          <w:lang w:val="en"/>
        </w:rPr>
        <w:t>., 21 Mar. 2012. Web. 10 Sept. 2013.</w:t>
      </w:r>
    </w:p>
    <w:p w:rsidR="00BF1E41" w:rsidRPr="00646BDE" w:rsidRDefault="00BF1E41" w:rsidP="00BF1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46BDE">
        <w:rPr>
          <w:rFonts w:ascii="Times New Roman" w:eastAsia="Times New Roman" w:hAnsi="Times New Roman" w:cs="Times New Roman"/>
        </w:rPr>
        <w:t>Gite</w:t>
      </w:r>
      <w:proofErr w:type="spellEnd"/>
      <w:r w:rsidRPr="00646BD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46BDE">
        <w:rPr>
          <w:rFonts w:ascii="Times New Roman" w:eastAsia="Times New Roman" w:hAnsi="Times New Roman" w:cs="Times New Roman"/>
        </w:rPr>
        <w:t>Vivek</w:t>
      </w:r>
      <w:proofErr w:type="spellEnd"/>
      <w:r w:rsidRPr="00646BDE">
        <w:rPr>
          <w:rFonts w:ascii="Times New Roman" w:eastAsia="Times New Roman" w:hAnsi="Times New Roman" w:cs="Times New Roman"/>
        </w:rPr>
        <w:t xml:space="preserve">. "Explain: Tier 1-4 Data Center." </w:t>
      </w:r>
      <w:proofErr w:type="spellStart"/>
      <w:r w:rsidRPr="00646BDE">
        <w:rPr>
          <w:rFonts w:ascii="Times New Roman" w:eastAsia="Times New Roman" w:hAnsi="Times New Roman" w:cs="Times New Roman"/>
        </w:rPr>
        <w:t>NixCraft</w:t>
      </w:r>
      <w:proofErr w:type="spellEnd"/>
      <w:r w:rsidRPr="00646BD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46BDE">
        <w:rPr>
          <w:rFonts w:ascii="Times New Roman" w:eastAsia="Times New Roman" w:hAnsi="Times New Roman" w:cs="Times New Roman"/>
        </w:rPr>
        <w:t>Cyberciti</w:t>
      </w:r>
      <w:proofErr w:type="spellEnd"/>
      <w:r w:rsidRPr="00646BDE">
        <w:rPr>
          <w:rFonts w:ascii="Times New Roman" w:eastAsia="Times New Roman" w:hAnsi="Times New Roman" w:cs="Times New Roman"/>
        </w:rPr>
        <w:t xml:space="preserve">, 7 June 2008. Web. 1 Feb </w:t>
      </w:r>
    </w:p>
    <w:p w:rsidR="00BF1E41" w:rsidRPr="00646BDE" w:rsidRDefault="00BF1E41" w:rsidP="00BF1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BDE">
        <w:rPr>
          <w:rFonts w:ascii="Times New Roman" w:eastAsia="Times New Roman" w:hAnsi="Times New Roman" w:cs="Times New Roman"/>
        </w:rPr>
        <w:tab/>
        <w:t xml:space="preserve">2013. </w:t>
      </w:r>
    </w:p>
    <w:p w:rsidR="00BF1E41" w:rsidRPr="00FF3DCC" w:rsidRDefault="00BF1E41" w:rsidP="00BF1E41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lang w:val="en"/>
        </w:rPr>
      </w:pPr>
      <w:r w:rsidRPr="00FF3DCC">
        <w:rPr>
          <w:rFonts w:ascii="Times New Roman" w:hAnsi="Times New Roman" w:cs="Times New Roman"/>
          <w:lang w:val="en"/>
        </w:rPr>
        <w:t xml:space="preserve">"Data Center Tier Standards | Tier 1-4 Overview |." </w:t>
      </w:r>
      <w:r w:rsidRPr="00FF3DCC">
        <w:rPr>
          <w:rFonts w:ascii="Times New Roman" w:hAnsi="Times New Roman" w:cs="Times New Roman"/>
          <w:i/>
          <w:iCs/>
          <w:lang w:val="en"/>
        </w:rPr>
        <w:t xml:space="preserve">Data Center Tier Standards | Tier 1-4 Overview | </w:t>
      </w:r>
    </w:p>
    <w:p w:rsidR="00BF1E41" w:rsidRDefault="00BF1E41" w:rsidP="00BF1E41">
      <w:pPr>
        <w:shd w:val="clear" w:color="auto" w:fill="FFFFFF"/>
        <w:spacing w:line="240" w:lineRule="auto"/>
        <w:rPr>
          <w:rFonts w:ascii="Times New Roman" w:hAnsi="Times New Roman" w:cs="Times New Roman"/>
          <w:lang w:val="en"/>
        </w:rPr>
      </w:pPr>
      <w:r w:rsidRPr="00FF3DCC">
        <w:rPr>
          <w:rFonts w:ascii="Times New Roman" w:hAnsi="Times New Roman" w:cs="Times New Roman"/>
          <w:i/>
          <w:iCs/>
          <w:lang w:val="en"/>
        </w:rPr>
        <w:tab/>
        <w:t>Colocation America</w:t>
      </w:r>
      <w:r w:rsidRPr="00FF3DCC">
        <w:rPr>
          <w:rFonts w:ascii="Times New Roman" w:hAnsi="Times New Roman" w:cs="Times New Roman"/>
          <w:lang w:val="en"/>
        </w:rPr>
        <w:t xml:space="preserve">. </w:t>
      </w:r>
      <w:proofErr w:type="spellStart"/>
      <w:proofErr w:type="gramStart"/>
      <w:r w:rsidRPr="00FF3DCC">
        <w:rPr>
          <w:rFonts w:ascii="Times New Roman" w:hAnsi="Times New Roman" w:cs="Times New Roman"/>
          <w:lang w:val="en"/>
        </w:rPr>
        <w:t>N.p</w:t>
      </w:r>
      <w:proofErr w:type="spellEnd"/>
      <w:proofErr w:type="gramEnd"/>
      <w:r w:rsidRPr="00FF3DCC">
        <w:rPr>
          <w:rFonts w:ascii="Times New Roman" w:hAnsi="Times New Roman" w:cs="Times New Roman"/>
          <w:lang w:val="en"/>
        </w:rPr>
        <w:t xml:space="preserve">., </w:t>
      </w:r>
      <w:proofErr w:type="spellStart"/>
      <w:r w:rsidRPr="00FF3DCC">
        <w:rPr>
          <w:rFonts w:ascii="Times New Roman" w:hAnsi="Times New Roman" w:cs="Times New Roman"/>
          <w:lang w:val="en"/>
        </w:rPr>
        <w:t>n.d.</w:t>
      </w:r>
      <w:proofErr w:type="spellEnd"/>
      <w:r w:rsidRPr="00FF3DCC">
        <w:rPr>
          <w:rFonts w:ascii="Times New Roman" w:hAnsi="Times New Roman" w:cs="Times New Roman"/>
          <w:lang w:val="en"/>
        </w:rPr>
        <w:t xml:space="preserve"> Web. 12 Sept. 2013.</w:t>
      </w:r>
    </w:p>
    <w:p w:rsidR="00BF1E41" w:rsidRDefault="00BF1E41" w:rsidP="00BF1E41">
      <w:pPr>
        <w:shd w:val="clear" w:color="auto" w:fill="FFFFFF"/>
        <w:spacing w:line="240" w:lineRule="auto"/>
        <w:rPr>
          <w:rFonts w:ascii="Times New Roman" w:hAnsi="Times New Roman" w:cs="Times New Roman"/>
          <w:lang w:val="en"/>
        </w:rPr>
      </w:pPr>
      <w:r w:rsidRPr="00CB1003">
        <w:rPr>
          <w:rFonts w:ascii="Times New Roman" w:hAnsi="Times New Roman" w:cs="Times New Roman"/>
          <w:lang w:val="en"/>
        </w:rPr>
        <w:t xml:space="preserve">"COMPLIANCE &amp; CERTIFICATIONS." </w:t>
      </w:r>
      <w:r w:rsidRPr="00CB1003">
        <w:rPr>
          <w:rFonts w:ascii="Times New Roman" w:hAnsi="Times New Roman" w:cs="Times New Roman"/>
          <w:i/>
          <w:iCs/>
          <w:lang w:val="en"/>
        </w:rPr>
        <w:t>Compliance &amp; Certifications</w:t>
      </w:r>
      <w:r w:rsidRPr="00CB1003">
        <w:rPr>
          <w:rFonts w:ascii="Times New Roman" w:hAnsi="Times New Roman" w:cs="Times New Roman"/>
          <w:lang w:val="en"/>
        </w:rPr>
        <w:t xml:space="preserve">. The Vault by </w:t>
      </w:r>
      <w:proofErr w:type="spellStart"/>
      <w:r w:rsidRPr="00CB1003">
        <w:rPr>
          <w:rFonts w:ascii="Times New Roman" w:hAnsi="Times New Roman" w:cs="Times New Roman"/>
          <w:lang w:val="en"/>
        </w:rPr>
        <w:t>BendBroadband</w:t>
      </w:r>
      <w:proofErr w:type="spellEnd"/>
      <w:r w:rsidRPr="00CB1003">
        <w:rPr>
          <w:rFonts w:ascii="Times New Roman" w:hAnsi="Times New Roman" w:cs="Times New Roman"/>
          <w:lang w:val="en"/>
        </w:rPr>
        <w:t xml:space="preserve">, </w:t>
      </w:r>
    </w:p>
    <w:p w:rsidR="00BF1E41" w:rsidRPr="00CB1003" w:rsidRDefault="00BF1E41" w:rsidP="00BF1E41">
      <w:pPr>
        <w:shd w:val="clear" w:color="auto" w:fill="FFFFFF"/>
        <w:spacing w:line="240" w:lineRule="auto"/>
        <w:rPr>
          <w:rFonts w:ascii="Times New Roman" w:eastAsia="Malgun Gothic" w:hAnsi="Times New Roman" w:cs="Times New Roman"/>
          <w:color w:val="0072C6"/>
        </w:rPr>
      </w:pPr>
      <w:r>
        <w:rPr>
          <w:rFonts w:ascii="Times New Roman" w:hAnsi="Times New Roman" w:cs="Times New Roman"/>
          <w:lang w:val="en"/>
        </w:rPr>
        <w:tab/>
      </w:r>
      <w:proofErr w:type="spellStart"/>
      <w:proofErr w:type="gramStart"/>
      <w:r w:rsidRPr="00CB1003">
        <w:rPr>
          <w:rFonts w:ascii="Times New Roman" w:hAnsi="Times New Roman" w:cs="Times New Roman"/>
          <w:lang w:val="en"/>
        </w:rPr>
        <w:t>n.d</w:t>
      </w:r>
      <w:proofErr w:type="gramEnd"/>
      <w:r w:rsidRPr="00CB1003">
        <w:rPr>
          <w:rFonts w:ascii="Times New Roman" w:hAnsi="Times New Roman" w:cs="Times New Roman"/>
          <w:lang w:val="en"/>
        </w:rPr>
        <w:t>.</w:t>
      </w:r>
      <w:proofErr w:type="spellEnd"/>
      <w:r w:rsidRPr="00CB1003">
        <w:rPr>
          <w:rFonts w:ascii="Times New Roman" w:hAnsi="Times New Roman" w:cs="Times New Roman"/>
          <w:lang w:val="en"/>
        </w:rPr>
        <w:t xml:space="preserve"> Web. 24 Sept. 2013.</w:t>
      </w:r>
    </w:p>
    <w:p w:rsidR="006F1632" w:rsidRDefault="006F1632"/>
    <w:sectPr w:rsidR="006F16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85" w:rsidRDefault="001E6385" w:rsidP="003065DE">
      <w:pPr>
        <w:spacing w:after="0" w:line="240" w:lineRule="auto"/>
      </w:pPr>
      <w:r>
        <w:separator/>
      </w:r>
    </w:p>
  </w:endnote>
  <w:endnote w:type="continuationSeparator" w:id="0">
    <w:p w:rsidR="001E6385" w:rsidRDefault="001E6385" w:rsidP="003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159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BDE" w:rsidRDefault="00646B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BDE" w:rsidRDefault="0064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85" w:rsidRDefault="001E6385" w:rsidP="003065DE">
      <w:pPr>
        <w:spacing w:after="0" w:line="240" w:lineRule="auto"/>
      </w:pPr>
      <w:r>
        <w:separator/>
      </w:r>
    </w:p>
  </w:footnote>
  <w:footnote w:type="continuationSeparator" w:id="0">
    <w:p w:rsidR="001E6385" w:rsidRDefault="001E6385" w:rsidP="003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41" w:rsidRDefault="00897241" w:rsidP="00897241">
    <w:pPr>
      <w:pStyle w:val="NormalWeb"/>
      <w:contextualSpacing/>
    </w:pPr>
    <w:r w:rsidRPr="003065DE">
      <w:t xml:space="preserve">To: Mart Doyle; CIO </w:t>
    </w:r>
  </w:p>
  <w:p w:rsidR="00897241" w:rsidRDefault="00897241" w:rsidP="00897241">
    <w:pPr>
      <w:pStyle w:val="NormalWeb"/>
      <w:contextualSpacing/>
    </w:pPr>
    <w:r w:rsidRPr="003065DE">
      <w:t xml:space="preserve">From: </w:t>
    </w:r>
    <w:r>
      <w:t>Joon-Yong Kim</w:t>
    </w:r>
    <w:r w:rsidRPr="003065DE">
      <w:t xml:space="preserve"> </w:t>
    </w:r>
  </w:p>
  <w:p w:rsidR="00897241" w:rsidRDefault="00897241" w:rsidP="00897241">
    <w:pPr>
      <w:pStyle w:val="NormalWeb"/>
      <w:contextualSpacing/>
    </w:pPr>
    <w:r>
      <w:t>Date: 10 Sep</w:t>
    </w:r>
    <w:r w:rsidRPr="003065DE">
      <w:t xml:space="preserve"> 2013 </w:t>
    </w:r>
  </w:p>
  <w:p w:rsidR="003065DE" w:rsidRDefault="00897241" w:rsidP="003065DE">
    <w:pPr>
      <w:pStyle w:val="NormalWeb"/>
      <w:contextualSpacing/>
    </w:pPr>
    <w:r w:rsidRPr="003065DE">
      <w:t xml:space="preserve">Subject: Tier III Data Center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E4"/>
    <w:rsid w:val="0008093E"/>
    <w:rsid w:val="000C03B1"/>
    <w:rsid w:val="000D1EB6"/>
    <w:rsid w:val="001E6385"/>
    <w:rsid w:val="0024686E"/>
    <w:rsid w:val="002B33A5"/>
    <w:rsid w:val="002E5021"/>
    <w:rsid w:val="003065DE"/>
    <w:rsid w:val="003F5153"/>
    <w:rsid w:val="004A4618"/>
    <w:rsid w:val="004B473A"/>
    <w:rsid w:val="00516680"/>
    <w:rsid w:val="005B2EBB"/>
    <w:rsid w:val="00646BDE"/>
    <w:rsid w:val="00681265"/>
    <w:rsid w:val="006F1632"/>
    <w:rsid w:val="00897241"/>
    <w:rsid w:val="008F600D"/>
    <w:rsid w:val="00902866"/>
    <w:rsid w:val="00956773"/>
    <w:rsid w:val="00994643"/>
    <w:rsid w:val="00A23B2C"/>
    <w:rsid w:val="00AB4563"/>
    <w:rsid w:val="00AD22E7"/>
    <w:rsid w:val="00B13317"/>
    <w:rsid w:val="00BF1E41"/>
    <w:rsid w:val="00C7087D"/>
    <w:rsid w:val="00C71EB4"/>
    <w:rsid w:val="00CB1003"/>
    <w:rsid w:val="00CD2EB0"/>
    <w:rsid w:val="00D178E4"/>
    <w:rsid w:val="00D43F9D"/>
    <w:rsid w:val="00E37B78"/>
    <w:rsid w:val="00E461BB"/>
    <w:rsid w:val="00E77B81"/>
    <w:rsid w:val="00F91689"/>
    <w:rsid w:val="00FD397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FE609-932C-4AB1-9B9D-5D528DE5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8E4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178E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DE"/>
  </w:style>
  <w:style w:type="paragraph" w:styleId="Footer">
    <w:name w:val="footer"/>
    <w:basedOn w:val="Normal"/>
    <w:link w:val="FooterChar"/>
    <w:uiPriority w:val="99"/>
    <w:unhideWhenUsed/>
    <w:rsid w:val="003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DE"/>
  </w:style>
  <w:style w:type="table" w:styleId="TableGrid">
    <w:name w:val="Table Grid"/>
    <w:basedOn w:val="TableNormal"/>
    <w:uiPriority w:val="39"/>
    <w:rsid w:val="0030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43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8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54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67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04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</dc:creator>
  <cp:lastModifiedBy>Joon-Yong Kim</cp:lastModifiedBy>
  <cp:revision>9</cp:revision>
  <dcterms:created xsi:type="dcterms:W3CDTF">2013-09-13T23:56:00Z</dcterms:created>
  <dcterms:modified xsi:type="dcterms:W3CDTF">2013-10-01T18:39:00Z</dcterms:modified>
</cp:coreProperties>
</file>