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67" w:rsidRDefault="00E021B4" w:rsidP="00531DED">
      <w:pPr>
        <w:pStyle w:val="NormalWeb"/>
        <w:rPr>
          <w:rFonts w:ascii="TimesNewRomanPSMT" w:hAnsi="TimesNewRomanPSMT"/>
        </w:rPr>
      </w:pPr>
      <w:r>
        <w:rPr>
          <w:rFonts w:ascii="TimesNewRomanPSMT" w:hAnsi="TimesNewRomanPSMT"/>
        </w:rPr>
        <w:t>John Saviello</w:t>
      </w:r>
    </w:p>
    <w:p w:rsidR="00E021B4" w:rsidRDefault="00E021B4" w:rsidP="00531DED">
      <w:pPr>
        <w:pStyle w:val="NormalWeb"/>
        <w:rPr>
          <w:rFonts w:ascii="TimesNewRomanPSMT" w:hAnsi="TimesNewRomanPSMT"/>
        </w:rPr>
      </w:pPr>
      <w:r>
        <w:rPr>
          <w:rFonts w:ascii="TimesNewRomanPSMT" w:hAnsi="TimesNewRomanPSMT"/>
        </w:rPr>
        <w:t>Professor Doyle</w:t>
      </w:r>
    </w:p>
    <w:p w:rsidR="00E021B4" w:rsidRDefault="00E021B4" w:rsidP="00531DED">
      <w:pPr>
        <w:pStyle w:val="NormalWeb"/>
        <w:rPr>
          <w:rFonts w:ascii="TimesNewRomanPSMT" w:hAnsi="TimesNewRomanPSMT"/>
        </w:rPr>
      </w:pPr>
      <w:r>
        <w:rPr>
          <w:rFonts w:ascii="TimesNewRomanPSMT" w:hAnsi="TimesNewRomanPSMT"/>
        </w:rPr>
        <w:t>MIS 2501</w:t>
      </w:r>
    </w:p>
    <w:p w:rsidR="00E021B4" w:rsidRDefault="00E021B4" w:rsidP="00531DED">
      <w:pPr>
        <w:pStyle w:val="NormalWeb"/>
        <w:rPr>
          <w:rFonts w:ascii="TimesNewRomanPSMT" w:hAnsi="TimesNewRomanPSMT"/>
        </w:rPr>
      </w:pPr>
      <w:r>
        <w:rPr>
          <w:rFonts w:ascii="TimesNewRomanPSMT" w:hAnsi="TimesNewRomanPSMT"/>
        </w:rPr>
        <w:t>February 13, 2018</w:t>
      </w:r>
    </w:p>
    <w:p w:rsidR="00531DED" w:rsidRPr="00531DED" w:rsidRDefault="00531DED" w:rsidP="00D96573">
      <w:pPr>
        <w:pStyle w:val="NormalWeb"/>
        <w:jc w:val="center"/>
        <w:rPr>
          <w:rFonts w:ascii="TimesNewRomanPSMT" w:hAnsi="TimesNewRomanPSMT"/>
        </w:rPr>
      </w:pPr>
      <w:bookmarkStart w:id="0" w:name="_GoBack"/>
      <w:bookmarkEnd w:id="0"/>
      <w:r w:rsidRPr="00531DED">
        <w:rPr>
          <w:rFonts w:ascii="TimesNewRomanPSMT" w:hAnsi="TimesNewRomanPSMT"/>
        </w:rPr>
        <w:t>Flash Research Assignment #1: Data Centers and Networking</w:t>
      </w:r>
    </w:p>
    <w:p w:rsidR="00C23B9D" w:rsidRDefault="00A92459" w:rsidP="00DC3581">
      <w:pPr>
        <w:pStyle w:val="NormalWeb"/>
        <w:spacing w:line="480" w:lineRule="auto"/>
        <w:rPr>
          <w:rFonts w:ascii="TimesNewRomanPSMT" w:hAnsi="TimesNewRomanPSMT"/>
        </w:rPr>
      </w:pPr>
      <w:r>
        <w:rPr>
          <w:rFonts w:ascii="TimesNewRomanPSMT" w:hAnsi="TimesNewRomanPSMT"/>
        </w:rPr>
        <w:tab/>
      </w:r>
      <w:r w:rsidR="002F67C3">
        <w:rPr>
          <w:rFonts w:ascii="TimesNewRomanPSMT" w:hAnsi="TimesNewRomanPSMT"/>
        </w:rPr>
        <w:t>CTA ha</w:t>
      </w:r>
      <w:r w:rsidR="007F45C3">
        <w:rPr>
          <w:rFonts w:ascii="TimesNewRomanPSMT" w:hAnsi="TimesNewRomanPSMT"/>
        </w:rPr>
        <w:t xml:space="preserve">s the opportunity to </w:t>
      </w:r>
      <w:r w:rsidR="00B93EE2">
        <w:rPr>
          <w:rFonts w:ascii="TimesNewRomanPSMT" w:hAnsi="TimesNewRomanPSMT"/>
        </w:rPr>
        <w:t>save over $13 m</w:t>
      </w:r>
      <w:r w:rsidR="00C23B9D">
        <w:rPr>
          <w:rFonts w:ascii="TimesNewRomanPSMT" w:hAnsi="TimesNewRomanPSMT"/>
        </w:rPr>
        <w:t>illion over the next three years if they upgrade from a tier I to a tier III data center.</w:t>
      </w:r>
      <w:r w:rsidR="00F6153A">
        <w:rPr>
          <w:rFonts w:ascii="TimesNewRomanPSMT" w:hAnsi="TimesNewRomanPSMT"/>
        </w:rPr>
        <w:t xml:space="preserve">  </w:t>
      </w:r>
      <w:r w:rsidR="00C23B9D">
        <w:rPr>
          <w:rFonts w:ascii="TimesNewRomanPSMT" w:hAnsi="TimesNewRomanPSMT"/>
        </w:rPr>
        <w:t xml:space="preserve">These savings are due to the fact that tier III systems are redundant and concurrently maintainable. </w:t>
      </w:r>
    </w:p>
    <w:p w:rsidR="00A92459" w:rsidRDefault="008E51BA" w:rsidP="00C23B9D">
      <w:pPr>
        <w:pStyle w:val="NormalWeb"/>
        <w:spacing w:line="480" w:lineRule="auto"/>
        <w:ind w:firstLine="720"/>
        <w:rPr>
          <w:rFonts w:ascii="TimesNewRomanPSMT" w:hAnsi="TimesNewRomanPSMT"/>
        </w:rPr>
      </w:pPr>
      <w:r>
        <w:rPr>
          <w:rFonts w:ascii="TimesNewRomanPSMT" w:hAnsi="TimesNewRomanPSMT"/>
        </w:rPr>
        <w:t xml:space="preserve">There are many benefits of </w:t>
      </w:r>
      <w:r w:rsidR="00C36497">
        <w:rPr>
          <w:rFonts w:ascii="TimesNewRomanPSMT" w:hAnsi="TimesNewRomanPSMT"/>
        </w:rPr>
        <w:t>upgrading</w:t>
      </w:r>
      <w:r>
        <w:rPr>
          <w:rFonts w:ascii="TimesNewRomanPSMT" w:hAnsi="TimesNewRomanPSMT"/>
        </w:rPr>
        <w:t xml:space="preserve"> to a t</w:t>
      </w:r>
      <w:r w:rsidR="00946836">
        <w:rPr>
          <w:rFonts w:ascii="TimesNewRomanPSMT" w:hAnsi="TimesNewRomanPSMT"/>
        </w:rPr>
        <w:t>ier III data center.</w:t>
      </w:r>
      <w:r w:rsidR="00AA73C4">
        <w:rPr>
          <w:rFonts w:ascii="TimesNewRomanPSMT" w:hAnsi="TimesNewRomanPSMT"/>
        </w:rPr>
        <w:t xml:space="preserve">  The first benefit is that t</w:t>
      </w:r>
      <w:r w:rsidR="00A66F53">
        <w:rPr>
          <w:rFonts w:ascii="TimesNewRomanPSMT" w:hAnsi="TimesNewRomanPSMT"/>
        </w:rPr>
        <w:t>ier III centers have N+1 redundant systems</w:t>
      </w:r>
      <w:r w:rsidR="00BD5FE1">
        <w:rPr>
          <w:rFonts w:ascii="TimesNewRomanPSMT" w:hAnsi="TimesNewRomanPSMT"/>
        </w:rPr>
        <w:t xml:space="preserve"> (Rishka, 2015)</w:t>
      </w:r>
      <w:r w:rsidR="00A66F53">
        <w:rPr>
          <w:rFonts w:ascii="TimesNewRomanPSMT" w:hAnsi="TimesNewRomanPSMT"/>
        </w:rPr>
        <w:t>.  This means that in case of a</w:t>
      </w:r>
      <w:r w:rsidR="00F435AC">
        <w:rPr>
          <w:rFonts w:ascii="TimesNewRomanPSMT" w:hAnsi="TimesNewRomanPSMT"/>
        </w:rPr>
        <w:t xml:space="preserve"> system</w:t>
      </w:r>
      <w:r w:rsidR="00A66F53">
        <w:rPr>
          <w:rFonts w:ascii="TimesNewRomanPSMT" w:hAnsi="TimesNewRomanPSMT"/>
        </w:rPr>
        <w:t xml:space="preserve"> </w:t>
      </w:r>
      <w:r w:rsidR="00B70941">
        <w:rPr>
          <w:rFonts w:ascii="TimesNewRomanPSMT" w:hAnsi="TimesNewRomanPSMT"/>
        </w:rPr>
        <w:t xml:space="preserve">failure we have a </w:t>
      </w:r>
      <w:r w:rsidR="007749CA">
        <w:rPr>
          <w:rFonts w:ascii="TimesNewRomanPSMT" w:hAnsi="TimesNewRomanPSMT"/>
        </w:rPr>
        <w:t xml:space="preserve">backup </w:t>
      </w:r>
      <w:r w:rsidR="00B70941">
        <w:rPr>
          <w:rFonts w:ascii="TimesNewRomanPSMT" w:hAnsi="TimesNewRomanPSMT"/>
        </w:rPr>
        <w:t>f</w:t>
      </w:r>
      <w:r w:rsidR="007749CA">
        <w:rPr>
          <w:rFonts w:ascii="TimesNewRomanPSMT" w:hAnsi="TimesNewRomanPSMT"/>
        </w:rPr>
        <w:t>or</w:t>
      </w:r>
      <w:r w:rsidR="00B70941">
        <w:rPr>
          <w:rFonts w:ascii="TimesNewRomanPSMT" w:hAnsi="TimesNewRomanPSMT"/>
        </w:rPr>
        <w:t xml:space="preserve"> that </w:t>
      </w:r>
      <w:r w:rsidR="00A66F53">
        <w:rPr>
          <w:rFonts w:ascii="TimesNewRomanPSMT" w:hAnsi="TimesNewRomanPSMT"/>
        </w:rPr>
        <w:t>particular system</w:t>
      </w:r>
      <w:r w:rsidR="00DB4267">
        <w:rPr>
          <w:rFonts w:ascii="TimesNewRomanPSMT" w:hAnsi="TimesNewRomanPSMT"/>
        </w:rPr>
        <w:t>.  Another benefit of a t</w:t>
      </w:r>
      <w:r w:rsidR="00A66F53">
        <w:rPr>
          <w:rFonts w:ascii="TimesNewRomanPSMT" w:hAnsi="TimesNewRomanPSMT"/>
        </w:rPr>
        <w:t>ier III data center is the ability to have one active and alternate path for power and cooling.  This ensures that our data center will always have power and the ability to cool vital components</w:t>
      </w:r>
      <w:r w:rsidR="008C71B0">
        <w:rPr>
          <w:rFonts w:ascii="TimesNewRomanPSMT" w:hAnsi="TimesNewRomanPSMT"/>
        </w:rPr>
        <w:t xml:space="preserve"> (</w:t>
      </w:r>
      <w:r w:rsidR="008C71B0" w:rsidRPr="008C71B0">
        <w:rPr>
          <w:rFonts w:ascii="TimesNewRomanPSMT" w:hAnsi="TimesNewRomanPSMT"/>
        </w:rPr>
        <w:t>Hertvik</w:t>
      </w:r>
      <w:r w:rsidR="008C71B0">
        <w:rPr>
          <w:rFonts w:ascii="TimesNewRomanPSMT" w:hAnsi="TimesNewRomanPSMT"/>
        </w:rPr>
        <w:t>, 2017)</w:t>
      </w:r>
      <w:r w:rsidR="00A66F53">
        <w:rPr>
          <w:rFonts w:ascii="TimesNewRomanPSMT" w:hAnsi="TimesNewRomanPSMT"/>
        </w:rPr>
        <w:t xml:space="preserve">. </w:t>
      </w:r>
      <w:r w:rsidR="00DB7B3A">
        <w:rPr>
          <w:rFonts w:ascii="TimesNewRomanPSMT" w:hAnsi="TimesNewRomanPSMT"/>
        </w:rPr>
        <w:t xml:space="preserve"> Tier I data centers</w:t>
      </w:r>
      <w:r w:rsidR="00DA0A09">
        <w:rPr>
          <w:rFonts w:ascii="TimesNewRomanPSMT" w:hAnsi="TimesNewRomanPSMT"/>
        </w:rPr>
        <w:t xml:space="preserve"> have </w:t>
      </w:r>
      <w:r w:rsidR="00DB7B3A">
        <w:rPr>
          <w:rFonts w:ascii="TimesNewRomanPSMT" w:hAnsi="TimesNewRomanPSMT"/>
        </w:rPr>
        <w:t xml:space="preserve">only </w:t>
      </w:r>
      <w:r w:rsidR="00DA0A09">
        <w:rPr>
          <w:rFonts w:ascii="TimesNewRomanPSMT" w:hAnsi="TimesNewRomanPSMT"/>
        </w:rPr>
        <w:t>one</w:t>
      </w:r>
      <w:r w:rsidR="00A66F53">
        <w:rPr>
          <w:rFonts w:ascii="TimesNewRomanPSMT" w:hAnsi="TimesNewRomanPSMT"/>
        </w:rPr>
        <w:t xml:space="preserve"> path, which can lead to</w:t>
      </w:r>
      <w:r w:rsidR="00511FA4">
        <w:rPr>
          <w:rFonts w:ascii="TimesNewRomanPSMT" w:hAnsi="TimesNewRomanPSMT"/>
        </w:rPr>
        <w:t xml:space="preserve"> catastrophic failure and downtime</w:t>
      </w:r>
      <w:r w:rsidR="00577ACD">
        <w:rPr>
          <w:rFonts w:ascii="TimesNewRomanPSMT" w:hAnsi="TimesNewRomanPSMT"/>
        </w:rPr>
        <w:t xml:space="preserve"> due to overheating</w:t>
      </w:r>
      <w:r w:rsidR="00A66F53">
        <w:rPr>
          <w:rFonts w:ascii="TimesNewRomanPSMT" w:hAnsi="TimesNewRomanPSMT"/>
        </w:rPr>
        <w:t>.</w:t>
      </w:r>
      <w:r w:rsidR="00C75B00">
        <w:rPr>
          <w:rFonts w:ascii="TimesNewRomanPSMT" w:hAnsi="TimesNewRomanPSMT"/>
        </w:rPr>
        <w:t xml:space="preserve">  The last benefit of a tier III data center is that it is conc</w:t>
      </w:r>
      <w:r w:rsidR="00105146">
        <w:rPr>
          <w:rFonts w:ascii="TimesNewRomanPSMT" w:hAnsi="TimesNewRomanPSMT"/>
        </w:rPr>
        <w:t>urrently maintainable.  Unlike t</w:t>
      </w:r>
      <w:r w:rsidR="00C75B00">
        <w:rPr>
          <w:rFonts w:ascii="TimesNewRomanPSMT" w:hAnsi="TimesNewRomanPSMT"/>
        </w:rPr>
        <w:t xml:space="preserve">ier </w:t>
      </w:r>
      <w:r w:rsidR="000066AB">
        <w:rPr>
          <w:rFonts w:ascii="TimesNewRomanPSMT" w:hAnsi="TimesNewRomanPSMT"/>
        </w:rPr>
        <w:t xml:space="preserve">I data centers, tier III data centers </w:t>
      </w:r>
      <w:r w:rsidR="00C75B00">
        <w:rPr>
          <w:rFonts w:ascii="TimesNewRomanPSMT" w:hAnsi="TimesNewRomanPSMT"/>
        </w:rPr>
        <w:t xml:space="preserve">will be able to perform maintenance without </w:t>
      </w:r>
      <w:r w:rsidR="00DD1438">
        <w:rPr>
          <w:rFonts w:ascii="TimesNewRomanPSMT" w:hAnsi="TimesNewRomanPSMT"/>
        </w:rPr>
        <w:t>shutting down</w:t>
      </w:r>
      <w:r w:rsidR="000066AB">
        <w:rPr>
          <w:rFonts w:ascii="TimesNewRomanPSMT" w:hAnsi="TimesNewRomanPSMT"/>
        </w:rPr>
        <w:t>.</w:t>
      </w:r>
    </w:p>
    <w:p w:rsidR="00CF0DEE" w:rsidRDefault="00D628A8" w:rsidP="00DC3581">
      <w:pPr>
        <w:pStyle w:val="NormalWeb"/>
        <w:spacing w:line="480" w:lineRule="auto"/>
        <w:rPr>
          <w:rFonts w:ascii="TimesNewRomanPSMT" w:hAnsi="TimesNewRomanPSMT"/>
        </w:rPr>
      </w:pPr>
      <w:r>
        <w:rPr>
          <w:rFonts w:ascii="TimesNewRomanPSMT" w:hAnsi="TimesNewRomanPSMT"/>
        </w:rPr>
        <w:tab/>
      </w:r>
      <w:r w:rsidR="00B66A19">
        <w:rPr>
          <w:rFonts w:ascii="TimesNewRomanPSMT" w:hAnsi="TimesNewRomanPSMT"/>
        </w:rPr>
        <w:t xml:space="preserve">By upgrading to a tier III data center, </w:t>
      </w:r>
      <w:r w:rsidR="0072340A">
        <w:rPr>
          <w:rFonts w:ascii="TimesNewRomanPSMT" w:hAnsi="TimesNewRomanPSMT"/>
        </w:rPr>
        <w:t>CTA will save $48 million over the next three years</w:t>
      </w:r>
      <w:r w:rsidR="00577ACD">
        <w:rPr>
          <w:rFonts w:ascii="TimesNewRomanPSMT" w:hAnsi="TimesNewRomanPSMT"/>
        </w:rPr>
        <w:t xml:space="preserve">.  </w:t>
      </w:r>
      <w:r w:rsidR="0072340A">
        <w:rPr>
          <w:rFonts w:ascii="TimesNewRomanPSMT" w:hAnsi="TimesNewRomanPSMT"/>
        </w:rPr>
        <w:t xml:space="preserve">After an initial investment of </w:t>
      </w:r>
      <w:r w:rsidR="00B66A19">
        <w:rPr>
          <w:rFonts w:ascii="TimesNewRomanPSMT" w:hAnsi="TimesNewRomanPSMT"/>
        </w:rPr>
        <w:t xml:space="preserve">$35 million </w:t>
      </w:r>
      <w:r w:rsidR="0072340A">
        <w:rPr>
          <w:rFonts w:ascii="TimesNewRomanPSMT" w:hAnsi="TimesNewRomanPSMT"/>
        </w:rPr>
        <w:t>to upgrade to the</w:t>
      </w:r>
      <w:r w:rsidR="00B66A19">
        <w:rPr>
          <w:rFonts w:ascii="TimesNewRomanPSMT" w:hAnsi="TimesNewRomanPSMT"/>
        </w:rPr>
        <w:t xml:space="preserve"> tier III </w:t>
      </w:r>
      <w:r w:rsidR="0072340A">
        <w:rPr>
          <w:rFonts w:ascii="TimesNewRomanPSMT" w:hAnsi="TimesNewRomanPSMT"/>
        </w:rPr>
        <w:t>data center, we</w:t>
      </w:r>
      <w:r w:rsidR="00B66A19">
        <w:rPr>
          <w:rFonts w:ascii="TimesNewRomanPSMT" w:hAnsi="TimesNewRomanPSMT"/>
        </w:rPr>
        <w:t xml:space="preserve"> will </w:t>
      </w:r>
      <w:r w:rsidR="005648F5">
        <w:rPr>
          <w:rFonts w:ascii="TimesNewRomanPSMT" w:hAnsi="TimesNewRomanPSMT"/>
        </w:rPr>
        <w:t xml:space="preserve">benefit from </w:t>
      </w:r>
      <w:r w:rsidR="00396FFF">
        <w:rPr>
          <w:rFonts w:ascii="TimesNewRomanPSMT" w:hAnsi="TimesNewRomanPSMT"/>
        </w:rPr>
        <w:t>$24 million</w:t>
      </w:r>
      <w:r w:rsidR="009A08C0">
        <w:rPr>
          <w:rFonts w:ascii="TimesNewRomanPSMT" w:hAnsi="TimesNewRomanPSMT"/>
        </w:rPr>
        <w:t xml:space="preserve"> per year</w:t>
      </w:r>
      <w:r w:rsidR="00396FFF">
        <w:rPr>
          <w:rFonts w:ascii="TimesNewRomanPSMT" w:hAnsi="TimesNewRomanPSMT"/>
        </w:rPr>
        <w:t>.  Factoring in</w:t>
      </w:r>
      <w:r w:rsidR="000A1755">
        <w:rPr>
          <w:rFonts w:ascii="TimesNewRomanPSMT" w:hAnsi="TimesNewRomanPSMT"/>
        </w:rPr>
        <w:t xml:space="preserve"> costs</w:t>
      </w:r>
      <w:r w:rsidR="00396FFF">
        <w:rPr>
          <w:rFonts w:ascii="TimesNewRomanPSMT" w:hAnsi="TimesNewRomanPSMT"/>
        </w:rPr>
        <w:t>, we will see a net benefit of $13 million over the course of the next three-year period.</w:t>
      </w:r>
    </w:p>
    <w:p w:rsidR="00CF0DEE" w:rsidRPr="000B1367" w:rsidRDefault="00CF0DEE" w:rsidP="00DC3581">
      <w:pPr>
        <w:pStyle w:val="NormalWeb"/>
        <w:spacing w:line="480" w:lineRule="auto"/>
        <w:rPr>
          <w:rFonts w:ascii="TimesNewRomanPSMT" w:hAnsi="TimesNewRomanPSMT"/>
        </w:rPr>
      </w:pPr>
    </w:p>
    <w:p w:rsidR="00E4426A" w:rsidRDefault="008D6E52">
      <w:pPr>
        <w:rPr>
          <w:rFonts w:ascii="Times New Roman" w:hAnsi="Times New Roman" w:cs="Times New Roman"/>
        </w:rPr>
      </w:pPr>
      <w:r w:rsidRPr="008D6E52">
        <w:rPr>
          <w:rFonts w:ascii="Times New Roman" w:hAnsi="Times New Roman" w:cs="Times New Roman"/>
        </w:rPr>
        <w:lastRenderedPageBreak/>
        <w:t>Sources</w:t>
      </w:r>
      <w:r>
        <w:rPr>
          <w:rFonts w:ascii="Times New Roman" w:hAnsi="Times New Roman" w:cs="Times New Roman"/>
        </w:rPr>
        <w:t>:</w:t>
      </w:r>
    </w:p>
    <w:p w:rsidR="008D6E52" w:rsidRDefault="008D6E52">
      <w:pPr>
        <w:rPr>
          <w:rFonts w:ascii="Times New Roman" w:hAnsi="Times New Roman" w:cs="Times New Roman"/>
        </w:rPr>
      </w:pPr>
    </w:p>
    <w:p w:rsidR="008D6E52" w:rsidRDefault="002D179B">
      <w:pPr>
        <w:rPr>
          <w:rFonts w:ascii="Times New Roman" w:hAnsi="Times New Roman" w:cs="Times New Roman"/>
        </w:rPr>
      </w:pPr>
      <w:r w:rsidRPr="002D179B">
        <w:rPr>
          <w:rFonts w:ascii="Times New Roman" w:hAnsi="Times New Roman" w:cs="Times New Roman"/>
        </w:rPr>
        <w:t xml:space="preserve">“Data Center Standards (Tiers I-IV).” Colocation America Corporation, </w:t>
      </w:r>
      <w:r>
        <w:rPr>
          <w:rFonts w:ascii="Times New Roman" w:hAnsi="Times New Roman" w:cs="Times New Roman"/>
        </w:rPr>
        <w:tab/>
      </w:r>
      <w:r w:rsidRPr="00A562CE">
        <w:rPr>
          <w:rFonts w:ascii="Times New Roman" w:hAnsi="Times New Roman" w:cs="Times New Roman"/>
        </w:rPr>
        <w:t>www.colocationamerica.com/data-center/tier-standards-overview.htm</w:t>
      </w:r>
      <w:r w:rsidRPr="002D179B">
        <w:rPr>
          <w:rFonts w:ascii="Times New Roman" w:hAnsi="Times New Roman" w:cs="Times New Roman"/>
        </w:rPr>
        <w:t>.</w:t>
      </w:r>
    </w:p>
    <w:p w:rsidR="002D179B" w:rsidRDefault="002D179B">
      <w:pPr>
        <w:rPr>
          <w:rFonts w:ascii="Times New Roman" w:hAnsi="Times New Roman" w:cs="Times New Roman"/>
        </w:rPr>
      </w:pPr>
    </w:p>
    <w:p w:rsidR="002D179B" w:rsidRDefault="002D179B">
      <w:pPr>
        <w:rPr>
          <w:rFonts w:ascii="Times New Roman" w:hAnsi="Times New Roman" w:cs="Times New Roman"/>
        </w:rPr>
      </w:pPr>
      <w:r w:rsidRPr="002D179B">
        <w:rPr>
          <w:rFonts w:ascii="Times New Roman" w:hAnsi="Times New Roman" w:cs="Times New Roman"/>
        </w:rPr>
        <w:t xml:space="preserve">Gupta, </w:t>
      </w:r>
      <w:proofErr w:type="spellStart"/>
      <w:r w:rsidRPr="002D179B">
        <w:rPr>
          <w:rFonts w:ascii="Times New Roman" w:hAnsi="Times New Roman" w:cs="Times New Roman"/>
        </w:rPr>
        <w:t>Rishika</w:t>
      </w:r>
      <w:proofErr w:type="spellEnd"/>
      <w:r w:rsidRPr="002D179B">
        <w:rPr>
          <w:rFonts w:ascii="Times New Roman" w:hAnsi="Times New Roman" w:cs="Times New Roman"/>
        </w:rPr>
        <w:t xml:space="preserve">. “Why to Prefer a Tier 3 Data Center?” </w:t>
      </w:r>
      <w:proofErr w:type="spellStart"/>
      <w:r w:rsidRPr="002D179B">
        <w:rPr>
          <w:rFonts w:ascii="Times New Roman" w:hAnsi="Times New Roman" w:cs="Times New Roman"/>
        </w:rPr>
        <w:t>RackBank</w:t>
      </w:r>
      <w:proofErr w:type="spellEnd"/>
      <w:r w:rsidRPr="002D179B">
        <w:rPr>
          <w:rFonts w:ascii="Times New Roman" w:hAnsi="Times New Roman" w:cs="Times New Roman"/>
        </w:rPr>
        <w:t xml:space="preserve">, 5 Jan. 2015, </w:t>
      </w:r>
      <w:r>
        <w:rPr>
          <w:rFonts w:ascii="Times New Roman" w:hAnsi="Times New Roman" w:cs="Times New Roman"/>
        </w:rPr>
        <w:tab/>
      </w:r>
    </w:p>
    <w:p w:rsidR="002D179B" w:rsidRDefault="002D179B">
      <w:pPr>
        <w:rPr>
          <w:rFonts w:ascii="Times New Roman" w:hAnsi="Times New Roman" w:cs="Times New Roman"/>
        </w:rPr>
      </w:pPr>
      <w:r>
        <w:rPr>
          <w:rFonts w:ascii="Times New Roman" w:hAnsi="Times New Roman" w:cs="Times New Roman"/>
        </w:rPr>
        <w:tab/>
      </w:r>
      <w:r w:rsidRPr="00A562CE">
        <w:rPr>
          <w:rFonts w:ascii="Times New Roman" w:hAnsi="Times New Roman" w:cs="Times New Roman"/>
        </w:rPr>
        <w:t>www.rackbank.com/blog/why-to-pr</w:t>
      </w:r>
      <w:r w:rsidRPr="00A562CE">
        <w:rPr>
          <w:rFonts w:ascii="Times New Roman" w:hAnsi="Times New Roman" w:cs="Times New Roman"/>
        </w:rPr>
        <w:t>e</w:t>
      </w:r>
      <w:r w:rsidRPr="00A562CE">
        <w:rPr>
          <w:rFonts w:ascii="Times New Roman" w:hAnsi="Times New Roman" w:cs="Times New Roman"/>
        </w:rPr>
        <w:t>fer-tier-3-data-center/</w:t>
      </w:r>
      <w:r w:rsidRPr="002D179B">
        <w:rPr>
          <w:rFonts w:ascii="Times New Roman" w:hAnsi="Times New Roman" w:cs="Times New Roman"/>
        </w:rPr>
        <w:t>.</w:t>
      </w:r>
    </w:p>
    <w:p w:rsidR="002D179B" w:rsidRDefault="002D179B">
      <w:pPr>
        <w:rPr>
          <w:rFonts w:ascii="Times New Roman" w:hAnsi="Times New Roman" w:cs="Times New Roman"/>
        </w:rPr>
      </w:pPr>
    </w:p>
    <w:p w:rsidR="002D179B" w:rsidRDefault="002D179B">
      <w:pPr>
        <w:rPr>
          <w:rFonts w:ascii="Times New Roman" w:hAnsi="Times New Roman" w:cs="Times New Roman"/>
        </w:rPr>
      </w:pPr>
      <w:r w:rsidRPr="002D179B">
        <w:rPr>
          <w:rFonts w:ascii="Times New Roman" w:hAnsi="Times New Roman" w:cs="Times New Roman"/>
        </w:rPr>
        <w:t xml:space="preserve">Hertvik, Joe. “Data Center Tiers: What Are They and Why Are They Important? via </w:t>
      </w:r>
      <w:r>
        <w:rPr>
          <w:rFonts w:ascii="Times New Roman" w:hAnsi="Times New Roman" w:cs="Times New Roman"/>
        </w:rPr>
        <w:tab/>
      </w:r>
      <w:r w:rsidRPr="002D179B">
        <w:rPr>
          <w:rFonts w:ascii="Times New Roman" w:hAnsi="Times New Roman" w:cs="Times New Roman"/>
        </w:rPr>
        <w:t>@</w:t>
      </w:r>
      <w:proofErr w:type="spellStart"/>
      <w:r w:rsidRPr="002D179B">
        <w:rPr>
          <w:rFonts w:ascii="Times New Roman" w:hAnsi="Times New Roman" w:cs="Times New Roman"/>
        </w:rPr>
        <w:t>BMCSoftware</w:t>
      </w:r>
      <w:proofErr w:type="spellEnd"/>
      <w:r w:rsidRPr="002D179B">
        <w:rPr>
          <w:rFonts w:ascii="Times New Roman" w:hAnsi="Times New Roman" w:cs="Times New Roman"/>
        </w:rPr>
        <w:t xml:space="preserve">.” BMC Blog RSS, BMC, 28 Feb. 2017, </w:t>
      </w:r>
      <w:r w:rsidRPr="00A562CE">
        <w:rPr>
          <w:rFonts w:ascii="Times New Roman" w:hAnsi="Times New Roman" w:cs="Times New Roman"/>
        </w:rPr>
        <w:t>www.bmc.com/blogs/data-</w:t>
      </w:r>
      <w:r>
        <w:rPr>
          <w:rFonts w:ascii="Times New Roman" w:hAnsi="Times New Roman" w:cs="Times New Roman"/>
        </w:rPr>
        <w:tab/>
      </w:r>
      <w:r w:rsidRPr="002D179B">
        <w:rPr>
          <w:rFonts w:ascii="Times New Roman" w:hAnsi="Times New Roman" w:cs="Times New Roman"/>
        </w:rPr>
        <w:t>center-tiers-important/.</w:t>
      </w:r>
    </w:p>
    <w:p w:rsidR="00687A6F" w:rsidRDefault="00687A6F">
      <w:pPr>
        <w:rPr>
          <w:rFonts w:ascii="Times New Roman" w:hAnsi="Times New Roman" w:cs="Times New Roman"/>
        </w:rPr>
      </w:pPr>
    </w:p>
    <w:p w:rsidR="00687A6F" w:rsidRDefault="00687A6F">
      <w:pPr>
        <w:rPr>
          <w:rFonts w:ascii="Times New Roman" w:hAnsi="Times New Roman" w:cs="Times New Roman"/>
        </w:rPr>
      </w:pPr>
      <w:r>
        <w:rPr>
          <w:rFonts w:ascii="Times New Roman" w:hAnsi="Times New Roman" w:cs="Times New Roman"/>
        </w:rPr>
        <w:t>Diagrams:</w:t>
      </w:r>
    </w:p>
    <w:p w:rsidR="00687A6F" w:rsidRDefault="00687A6F">
      <w:pPr>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5F0E0D" w:rsidTr="005F0E0D">
        <w:tc>
          <w:tcPr>
            <w:tcW w:w="1870" w:type="dxa"/>
          </w:tcPr>
          <w:p w:rsidR="005F0E0D" w:rsidRDefault="005F0E0D">
            <w:pPr>
              <w:rPr>
                <w:rFonts w:ascii="Times New Roman" w:hAnsi="Times New Roman" w:cs="Times New Roman"/>
              </w:rPr>
            </w:pP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Minutes</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Availability</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Downtime (min./year)</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Downtime Cost</w:t>
            </w:r>
          </w:p>
        </w:tc>
      </w:tr>
      <w:tr w:rsidR="005F0E0D" w:rsidTr="005F0E0D">
        <w:trPr>
          <w:trHeight w:val="440"/>
        </w:trPr>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Tier I</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525,600</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99.67%</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1734.48</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$25,670,304</w:t>
            </w:r>
          </w:p>
        </w:tc>
      </w:tr>
      <w:tr w:rsidR="005F0E0D" w:rsidTr="005F0E0D">
        <w:trPr>
          <w:trHeight w:val="422"/>
        </w:trPr>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Tier III</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525,600</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99.98%</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105.12</w:t>
            </w:r>
          </w:p>
        </w:tc>
        <w:tc>
          <w:tcPr>
            <w:tcW w:w="1870" w:type="dxa"/>
          </w:tcPr>
          <w:p w:rsidR="005F0E0D" w:rsidRDefault="005F0E0D" w:rsidP="005F0E0D">
            <w:pPr>
              <w:jc w:val="center"/>
              <w:rPr>
                <w:rFonts w:ascii="Times New Roman" w:hAnsi="Times New Roman" w:cs="Times New Roman"/>
              </w:rPr>
            </w:pPr>
            <w:r>
              <w:rPr>
                <w:rFonts w:ascii="Times New Roman" w:hAnsi="Times New Roman" w:cs="Times New Roman"/>
              </w:rPr>
              <w:t>$1,555,766</w:t>
            </w:r>
          </w:p>
        </w:tc>
      </w:tr>
    </w:tbl>
    <w:p w:rsidR="005F0E0D" w:rsidRDefault="005F0E0D">
      <w:pPr>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5F0E0D" w:rsidTr="00013443">
        <w:trPr>
          <w:trHeight w:val="620"/>
        </w:trPr>
        <w:tc>
          <w:tcPr>
            <w:tcW w:w="1870" w:type="dxa"/>
          </w:tcPr>
          <w:p w:rsidR="005F0E0D" w:rsidRDefault="005F0E0D" w:rsidP="005F0E0D">
            <w:pPr>
              <w:jc w:val="center"/>
              <w:rPr>
                <w:rFonts w:ascii="Times New Roman" w:hAnsi="Times New Roman" w:cs="Times New Roman"/>
                <w:b/>
              </w:rPr>
            </w:pPr>
            <w:r>
              <w:rPr>
                <w:rFonts w:ascii="Times New Roman" w:hAnsi="Times New Roman" w:cs="Times New Roman"/>
                <w:b/>
              </w:rPr>
              <w:t>Tier III Costs vs Benefits</w:t>
            </w:r>
          </w:p>
        </w:tc>
        <w:tc>
          <w:tcPr>
            <w:tcW w:w="1870" w:type="dxa"/>
          </w:tcPr>
          <w:p w:rsidR="005F0E0D" w:rsidRDefault="005F0E0D" w:rsidP="005F0E0D">
            <w:pPr>
              <w:jc w:val="center"/>
              <w:rPr>
                <w:rFonts w:ascii="Times New Roman" w:hAnsi="Times New Roman" w:cs="Times New Roman"/>
              </w:rPr>
            </w:pPr>
          </w:p>
          <w:p w:rsidR="005F0E0D" w:rsidRPr="005F0E0D" w:rsidRDefault="005F0E0D" w:rsidP="005F0E0D">
            <w:pPr>
              <w:jc w:val="center"/>
              <w:rPr>
                <w:rFonts w:ascii="Times New Roman" w:hAnsi="Times New Roman" w:cs="Times New Roman"/>
              </w:rPr>
            </w:pPr>
            <w:r>
              <w:rPr>
                <w:rFonts w:ascii="Times New Roman" w:hAnsi="Times New Roman" w:cs="Times New Roman"/>
              </w:rPr>
              <w:t>Year 1</w:t>
            </w:r>
          </w:p>
        </w:tc>
        <w:tc>
          <w:tcPr>
            <w:tcW w:w="1870" w:type="dxa"/>
          </w:tcPr>
          <w:p w:rsidR="005F0E0D" w:rsidRDefault="005F0E0D">
            <w:pPr>
              <w:rPr>
                <w:rFonts w:ascii="Times New Roman" w:hAnsi="Times New Roman" w:cs="Times New Roman"/>
                <w:b/>
              </w:rPr>
            </w:pPr>
          </w:p>
          <w:p w:rsidR="005F0E0D" w:rsidRPr="005F0E0D" w:rsidRDefault="005F0E0D" w:rsidP="005F0E0D">
            <w:pPr>
              <w:jc w:val="center"/>
              <w:rPr>
                <w:rFonts w:ascii="Times New Roman" w:hAnsi="Times New Roman" w:cs="Times New Roman"/>
              </w:rPr>
            </w:pPr>
            <w:r>
              <w:rPr>
                <w:rFonts w:ascii="Times New Roman" w:hAnsi="Times New Roman" w:cs="Times New Roman"/>
              </w:rPr>
              <w:t>Year 2</w:t>
            </w:r>
          </w:p>
        </w:tc>
        <w:tc>
          <w:tcPr>
            <w:tcW w:w="1870" w:type="dxa"/>
          </w:tcPr>
          <w:p w:rsidR="005F0E0D" w:rsidRDefault="005F0E0D">
            <w:pPr>
              <w:rPr>
                <w:rFonts w:ascii="Times New Roman" w:hAnsi="Times New Roman" w:cs="Times New Roman"/>
                <w:b/>
              </w:rPr>
            </w:pPr>
          </w:p>
          <w:p w:rsidR="005F0E0D" w:rsidRPr="005F0E0D" w:rsidRDefault="005F0E0D" w:rsidP="005F0E0D">
            <w:pPr>
              <w:jc w:val="center"/>
              <w:rPr>
                <w:rFonts w:ascii="Times New Roman" w:hAnsi="Times New Roman" w:cs="Times New Roman"/>
              </w:rPr>
            </w:pPr>
            <w:r>
              <w:rPr>
                <w:rFonts w:ascii="Times New Roman" w:hAnsi="Times New Roman" w:cs="Times New Roman"/>
              </w:rPr>
              <w:t>Year 3</w:t>
            </w:r>
          </w:p>
        </w:tc>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 xml:space="preserve">Total </w:t>
            </w:r>
          </w:p>
        </w:tc>
      </w:tr>
      <w:tr w:rsidR="005F0E0D" w:rsidTr="00013443">
        <w:trPr>
          <w:trHeight w:val="692"/>
        </w:trPr>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Costs</w:t>
            </w:r>
          </w:p>
        </w:tc>
        <w:tc>
          <w:tcPr>
            <w:tcW w:w="1870" w:type="dxa"/>
          </w:tcPr>
          <w:p w:rsidR="00A562CE" w:rsidRDefault="00A562CE" w:rsidP="00A562CE">
            <w:pPr>
              <w:jc w:val="center"/>
              <w:rPr>
                <w:rFonts w:ascii="Times New Roman" w:hAnsi="Times New Roman" w:cs="Times New Roman"/>
              </w:rPr>
            </w:pPr>
          </w:p>
          <w:p w:rsidR="005F0E0D" w:rsidRPr="00A562CE" w:rsidRDefault="00A562CE" w:rsidP="00A562CE">
            <w:pPr>
              <w:jc w:val="center"/>
              <w:rPr>
                <w:rFonts w:ascii="Times New Roman" w:hAnsi="Times New Roman" w:cs="Times New Roman"/>
              </w:rPr>
            </w:pPr>
            <w:r>
              <w:rPr>
                <w:rFonts w:ascii="Times New Roman" w:hAnsi="Times New Roman" w:cs="Times New Roman"/>
              </w:rPr>
              <w:t>$35,000,000</w:t>
            </w:r>
          </w:p>
        </w:tc>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$0</w:t>
            </w:r>
          </w:p>
        </w:tc>
        <w:tc>
          <w:tcPr>
            <w:tcW w:w="1870" w:type="dxa"/>
          </w:tcPr>
          <w:p w:rsidR="00A562CE" w:rsidRDefault="00A562CE" w:rsidP="00A562CE">
            <w:pPr>
              <w:jc w:val="center"/>
              <w:rPr>
                <w:rFonts w:ascii="Times New Roman" w:hAnsi="Times New Roman" w:cs="Times New Roman"/>
              </w:rPr>
            </w:pPr>
          </w:p>
          <w:p w:rsidR="005F0E0D" w:rsidRPr="00A562CE" w:rsidRDefault="00A562CE" w:rsidP="00A562CE">
            <w:pPr>
              <w:jc w:val="center"/>
              <w:rPr>
                <w:rFonts w:ascii="Times New Roman" w:hAnsi="Times New Roman" w:cs="Times New Roman"/>
              </w:rPr>
            </w:pPr>
            <w:r>
              <w:rPr>
                <w:rFonts w:ascii="Times New Roman" w:hAnsi="Times New Roman" w:cs="Times New Roman"/>
              </w:rPr>
              <w:t>$0</w:t>
            </w:r>
          </w:p>
        </w:tc>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$35,000,000</w:t>
            </w:r>
          </w:p>
        </w:tc>
      </w:tr>
      <w:tr w:rsidR="005F0E0D" w:rsidTr="00013443">
        <w:trPr>
          <w:trHeight w:val="728"/>
        </w:trPr>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Benefits</w:t>
            </w:r>
          </w:p>
        </w:tc>
        <w:tc>
          <w:tcPr>
            <w:tcW w:w="1870" w:type="dxa"/>
          </w:tcPr>
          <w:p w:rsidR="005F0E0D" w:rsidRDefault="005F0E0D">
            <w:pPr>
              <w:rPr>
                <w:rFonts w:ascii="Times New Roman" w:hAnsi="Times New Roman" w:cs="Times New Roman"/>
                <w:b/>
              </w:rPr>
            </w:pPr>
          </w:p>
          <w:p w:rsidR="00A562CE" w:rsidRPr="00A562CE" w:rsidRDefault="00A562CE" w:rsidP="00A562CE">
            <w:pPr>
              <w:jc w:val="center"/>
              <w:rPr>
                <w:rFonts w:ascii="Times New Roman" w:hAnsi="Times New Roman" w:cs="Times New Roman"/>
              </w:rPr>
            </w:pPr>
            <w:r>
              <w:rPr>
                <w:rFonts w:ascii="Times New Roman" w:hAnsi="Times New Roman" w:cs="Times New Roman"/>
              </w:rPr>
              <w:t>$0</w:t>
            </w:r>
          </w:p>
        </w:tc>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$24,111,538</w:t>
            </w:r>
          </w:p>
        </w:tc>
        <w:tc>
          <w:tcPr>
            <w:tcW w:w="1870" w:type="dxa"/>
          </w:tcPr>
          <w:p w:rsidR="00A562CE" w:rsidRDefault="00A562CE" w:rsidP="00A562CE">
            <w:pPr>
              <w:jc w:val="center"/>
              <w:rPr>
                <w:rFonts w:ascii="Times New Roman" w:hAnsi="Times New Roman" w:cs="Times New Roman"/>
                <w:b/>
              </w:rPr>
            </w:pPr>
          </w:p>
          <w:p w:rsidR="005F0E0D" w:rsidRPr="00A562CE" w:rsidRDefault="00A562CE" w:rsidP="00A562CE">
            <w:pPr>
              <w:jc w:val="center"/>
              <w:rPr>
                <w:rFonts w:ascii="Times New Roman" w:hAnsi="Times New Roman" w:cs="Times New Roman"/>
              </w:rPr>
            </w:pPr>
            <w:r w:rsidRPr="00A562CE">
              <w:rPr>
                <w:rFonts w:ascii="Times New Roman" w:hAnsi="Times New Roman" w:cs="Times New Roman"/>
              </w:rPr>
              <w:t>$24,111,538</w:t>
            </w:r>
          </w:p>
          <w:p w:rsidR="00A562CE" w:rsidRPr="00A562CE" w:rsidRDefault="00A562CE" w:rsidP="00A562CE">
            <w:pPr>
              <w:jc w:val="center"/>
              <w:rPr>
                <w:rFonts w:ascii="Times New Roman" w:hAnsi="Times New Roman" w:cs="Times New Roman"/>
              </w:rPr>
            </w:pPr>
          </w:p>
        </w:tc>
        <w:tc>
          <w:tcPr>
            <w:tcW w:w="1870" w:type="dxa"/>
          </w:tcPr>
          <w:p w:rsidR="005F0E0D" w:rsidRDefault="005F0E0D" w:rsidP="00A562CE">
            <w:pPr>
              <w:jc w:val="center"/>
              <w:rPr>
                <w:rFonts w:ascii="Times New Roman" w:hAnsi="Times New Roman" w:cs="Times New Roman"/>
              </w:rPr>
            </w:pPr>
          </w:p>
          <w:p w:rsidR="00A562CE" w:rsidRPr="00A562CE" w:rsidRDefault="00A562CE" w:rsidP="00A562CE">
            <w:pPr>
              <w:jc w:val="center"/>
              <w:rPr>
                <w:rFonts w:ascii="Times New Roman" w:hAnsi="Times New Roman" w:cs="Times New Roman"/>
              </w:rPr>
            </w:pPr>
            <w:r>
              <w:rPr>
                <w:rFonts w:ascii="Times New Roman" w:hAnsi="Times New Roman" w:cs="Times New Roman"/>
              </w:rPr>
              <w:t>$48,229.076</w:t>
            </w:r>
          </w:p>
        </w:tc>
      </w:tr>
    </w:tbl>
    <w:p w:rsidR="00687A6F" w:rsidRDefault="00687A6F">
      <w:pPr>
        <w:rPr>
          <w:rFonts w:ascii="Times New Roman" w:hAnsi="Times New Roman" w:cs="Times New Roman"/>
          <w:b/>
        </w:rPr>
      </w:pPr>
    </w:p>
    <w:p w:rsidR="00013443" w:rsidRDefault="00013443">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270A2">
        <w:rPr>
          <w:rFonts w:ascii="Times New Roman" w:hAnsi="Times New Roman" w:cs="Times New Roman"/>
          <w:b/>
        </w:rPr>
        <w:t xml:space="preserve">       </w:t>
      </w:r>
      <w:r>
        <w:rPr>
          <w:rFonts w:ascii="Times New Roman" w:hAnsi="Times New Roman" w:cs="Times New Roman"/>
          <w:b/>
        </w:rPr>
        <w:t>Net Benefit: $13 million</w:t>
      </w:r>
    </w:p>
    <w:p w:rsidR="00AE7B5C" w:rsidRPr="00687A6F" w:rsidRDefault="00AE7B5C">
      <w:pPr>
        <w:rPr>
          <w:rFonts w:ascii="Times New Roman" w:hAnsi="Times New Roman" w:cs="Times New Roman"/>
          <w:b/>
        </w:rPr>
      </w:pPr>
    </w:p>
    <w:sectPr w:rsidR="00AE7B5C" w:rsidRPr="00687A6F" w:rsidSect="00BA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7FF8"/>
    <w:multiLevelType w:val="hybridMultilevel"/>
    <w:tmpl w:val="558A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67"/>
    <w:rsid w:val="000066AB"/>
    <w:rsid w:val="00013443"/>
    <w:rsid w:val="000A1755"/>
    <w:rsid w:val="000B1367"/>
    <w:rsid w:val="00105146"/>
    <w:rsid w:val="00134C48"/>
    <w:rsid w:val="001577DE"/>
    <w:rsid w:val="00192E1A"/>
    <w:rsid w:val="002270A2"/>
    <w:rsid w:val="00235ECE"/>
    <w:rsid w:val="002D179B"/>
    <w:rsid w:val="002F67C3"/>
    <w:rsid w:val="00396FFF"/>
    <w:rsid w:val="003E5E30"/>
    <w:rsid w:val="00496628"/>
    <w:rsid w:val="0050383D"/>
    <w:rsid w:val="00511FA4"/>
    <w:rsid w:val="00531DED"/>
    <w:rsid w:val="005648F5"/>
    <w:rsid w:val="0057560E"/>
    <w:rsid w:val="00577ACD"/>
    <w:rsid w:val="005F0E0D"/>
    <w:rsid w:val="00636738"/>
    <w:rsid w:val="00687A6F"/>
    <w:rsid w:val="006A09F9"/>
    <w:rsid w:val="006A4149"/>
    <w:rsid w:val="006B6BAA"/>
    <w:rsid w:val="0072340A"/>
    <w:rsid w:val="007749CA"/>
    <w:rsid w:val="007F45C3"/>
    <w:rsid w:val="0080757A"/>
    <w:rsid w:val="008A6E2E"/>
    <w:rsid w:val="008C71B0"/>
    <w:rsid w:val="008D6E52"/>
    <w:rsid w:val="008E51BA"/>
    <w:rsid w:val="00946836"/>
    <w:rsid w:val="00954FC2"/>
    <w:rsid w:val="009860A1"/>
    <w:rsid w:val="009A08C0"/>
    <w:rsid w:val="00A562CE"/>
    <w:rsid w:val="00A6174C"/>
    <w:rsid w:val="00A66F53"/>
    <w:rsid w:val="00A72B91"/>
    <w:rsid w:val="00A92459"/>
    <w:rsid w:val="00AA73C4"/>
    <w:rsid w:val="00AB42A8"/>
    <w:rsid w:val="00AE7B5C"/>
    <w:rsid w:val="00B66A19"/>
    <w:rsid w:val="00B70941"/>
    <w:rsid w:val="00B93EE2"/>
    <w:rsid w:val="00BA3F57"/>
    <w:rsid w:val="00BB18F1"/>
    <w:rsid w:val="00BD5FE1"/>
    <w:rsid w:val="00C23B9D"/>
    <w:rsid w:val="00C320C6"/>
    <w:rsid w:val="00C36497"/>
    <w:rsid w:val="00C75B00"/>
    <w:rsid w:val="00CF0DEE"/>
    <w:rsid w:val="00D628A8"/>
    <w:rsid w:val="00D96573"/>
    <w:rsid w:val="00DA0A09"/>
    <w:rsid w:val="00DB4267"/>
    <w:rsid w:val="00DB7B3A"/>
    <w:rsid w:val="00DC3581"/>
    <w:rsid w:val="00DD1438"/>
    <w:rsid w:val="00DD2C2E"/>
    <w:rsid w:val="00DE3F22"/>
    <w:rsid w:val="00E021B4"/>
    <w:rsid w:val="00E4426A"/>
    <w:rsid w:val="00F435AC"/>
    <w:rsid w:val="00F54393"/>
    <w:rsid w:val="00F6153A"/>
    <w:rsid w:val="00F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24F3"/>
  <w14:defaultImageDpi w14:val="32767"/>
  <w15:chartTrackingRefBased/>
  <w15:docId w15:val="{319234AB-E97D-104A-B197-BF7CA9D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3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E52"/>
    <w:rPr>
      <w:color w:val="0563C1" w:themeColor="hyperlink"/>
      <w:u w:val="single"/>
    </w:rPr>
  </w:style>
  <w:style w:type="character" w:styleId="UnresolvedMention">
    <w:name w:val="Unresolved Mention"/>
    <w:basedOn w:val="DefaultParagraphFont"/>
    <w:uiPriority w:val="99"/>
    <w:rsid w:val="008D6E52"/>
    <w:rPr>
      <w:color w:val="808080"/>
      <w:shd w:val="clear" w:color="auto" w:fill="E6E6E6"/>
    </w:rPr>
  </w:style>
  <w:style w:type="character" w:styleId="FollowedHyperlink">
    <w:name w:val="FollowedHyperlink"/>
    <w:basedOn w:val="DefaultParagraphFont"/>
    <w:uiPriority w:val="99"/>
    <w:semiHidden/>
    <w:unhideWhenUsed/>
    <w:rsid w:val="00577ACD"/>
    <w:rPr>
      <w:color w:val="954F72" w:themeColor="followedHyperlink"/>
      <w:u w:val="single"/>
    </w:rPr>
  </w:style>
  <w:style w:type="table" w:styleId="TableGrid">
    <w:name w:val="Table Grid"/>
    <w:basedOn w:val="TableNormal"/>
    <w:uiPriority w:val="39"/>
    <w:rsid w:val="005F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8486">
      <w:bodyDiv w:val="1"/>
      <w:marLeft w:val="0"/>
      <w:marRight w:val="0"/>
      <w:marTop w:val="0"/>
      <w:marBottom w:val="0"/>
      <w:divBdr>
        <w:top w:val="none" w:sz="0" w:space="0" w:color="auto"/>
        <w:left w:val="none" w:sz="0" w:space="0" w:color="auto"/>
        <w:bottom w:val="none" w:sz="0" w:space="0" w:color="auto"/>
        <w:right w:val="none" w:sz="0" w:space="0" w:color="auto"/>
      </w:divBdr>
      <w:divsChild>
        <w:div w:id="586159757">
          <w:marLeft w:val="0"/>
          <w:marRight w:val="0"/>
          <w:marTop w:val="0"/>
          <w:marBottom w:val="0"/>
          <w:divBdr>
            <w:top w:val="none" w:sz="0" w:space="0" w:color="auto"/>
            <w:left w:val="none" w:sz="0" w:space="0" w:color="auto"/>
            <w:bottom w:val="none" w:sz="0" w:space="0" w:color="auto"/>
            <w:right w:val="none" w:sz="0" w:space="0" w:color="auto"/>
          </w:divBdr>
          <w:divsChild>
            <w:div w:id="145706134">
              <w:marLeft w:val="0"/>
              <w:marRight w:val="0"/>
              <w:marTop w:val="0"/>
              <w:marBottom w:val="0"/>
              <w:divBdr>
                <w:top w:val="none" w:sz="0" w:space="0" w:color="auto"/>
                <w:left w:val="none" w:sz="0" w:space="0" w:color="auto"/>
                <w:bottom w:val="none" w:sz="0" w:space="0" w:color="auto"/>
                <w:right w:val="none" w:sz="0" w:space="0" w:color="auto"/>
              </w:divBdr>
              <w:divsChild>
                <w:div w:id="7596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642">
      <w:bodyDiv w:val="1"/>
      <w:marLeft w:val="0"/>
      <w:marRight w:val="0"/>
      <w:marTop w:val="0"/>
      <w:marBottom w:val="0"/>
      <w:divBdr>
        <w:top w:val="none" w:sz="0" w:space="0" w:color="auto"/>
        <w:left w:val="none" w:sz="0" w:space="0" w:color="auto"/>
        <w:bottom w:val="none" w:sz="0" w:space="0" w:color="auto"/>
        <w:right w:val="none" w:sz="0" w:space="0" w:color="auto"/>
      </w:divBdr>
      <w:divsChild>
        <w:div w:id="1696733978">
          <w:marLeft w:val="0"/>
          <w:marRight w:val="0"/>
          <w:marTop w:val="0"/>
          <w:marBottom w:val="0"/>
          <w:divBdr>
            <w:top w:val="none" w:sz="0" w:space="0" w:color="auto"/>
            <w:left w:val="none" w:sz="0" w:space="0" w:color="auto"/>
            <w:bottom w:val="none" w:sz="0" w:space="0" w:color="auto"/>
            <w:right w:val="none" w:sz="0" w:space="0" w:color="auto"/>
          </w:divBdr>
          <w:divsChild>
            <w:div w:id="2010598838">
              <w:marLeft w:val="0"/>
              <w:marRight w:val="0"/>
              <w:marTop w:val="0"/>
              <w:marBottom w:val="0"/>
              <w:divBdr>
                <w:top w:val="none" w:sz="0" w:space="0" w:color="auto"/>
                <w:left w:val="none" w:sz="0" w:space="0" w:color="auto"/>
                <w:bottom w:val="none" w:sz="0" w:space="0" w:color="auto"/>
                <w:right w:val="none" w:sz="0" w:space="0" w:color="auto"/>
              </w:divBdr>
              <w:divsChild>
                <w:div w:id="763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8239">
      <w:bodyDiv w:val="1"/>
      <w:marLeft w:val="0"/>
      <w:marRight w:val="0"/>
      <w:marTop w:val="0"/>
      <w:marBottom w:val="0"/>
      <w:divBdr>
        <w:top w:val="none" w:sz="0" w:space="0" w:color="auto"/>
        <w:left w:val="none" w:sz="0" w:space="0" w:color="auto"/>
        <w:bottom w:val="none" w:sz="0" w:space="0" w:color="auto"/>
        <w:right w:val="none" w:sz="0" w:space="0" w:color="auto"/>
      </w:divBdr>
      <w:divsChild>
        <w:div w:id="623659249">
          <w:marLeft w:val="0"/>
          <w:marRight w:val="0"/>
          <w:marTop w:val="0"/>
          <w:marBottom w:val="0"/>
          <w:divBdr>
            <w:top w:val="none" w:sz="0" w:space="0" w:color="auto"/>
            <w:left w:val="none" w:sz="0" w:space="0" w:color="auto"/>
            <w:bottom w:val="none" w:sz="0" w:space="0" w:color="auto"/>
            <w:right w:val="none" w:sz="0" w:space="0" w:color="auto"/>
          </w:divBdr>
          <w:divsChild>
            <w:div w:id="1390181576">
              <w:marLeft w:val="0"/>
              <w:marRight w:val="0"/>
              <w:marTop w:val="0"/>
              <w:marBottom w:val="0"/>
              <w:divBdr>
                <w:top w:val="none" w:sz="0" w:space="0" w:color="auto"/>
                <w:left w:val="none" w:sz="0" w:space="0" w:color="auto"/>
                <w:bottom w:val="none" w:sz="0" w:space="0" w:color="auto"/>
                <w:right w:val="none" w:sz="0" w:space="0" w:color="auto"/>
              </w:divBdr>
              <w:divsChild>
                <w:div w:id="16960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Saviello</dc:creator>
  <cp:keywords/>
  <dc:description/>
  <cp:lastModifiedBy>John Paul Saviello</cp:lastModifiedBy>
  <cp:revision>65</cp:revision>
  <dcterms:created xsi:type="dcterms:W3CDTF">2018-02-12T01:09:00Z</dcterms:created>
  <dcterms:modified xsi:type="dcterms:W3CDTF">2018-02-26T02:54:00Z</dcterms:modified>
</cp:coreProperties>
</file>