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13D8" w:rsidRDefault="00026457">
      <w:pPr>
        <w:pStyle w:val="normal0"/>
      </w:pPr>
      <w:bookmarkStart w:id="0" w:name="_GoBack"/>
      <w:bookmarkEnd w:id="0"/>
      <w:r>
        <w:rPr>
          <w:rFonts w:ascii="Times New Roman" w:eastAsia="Times New Roman" w:hAnsi="Times New Roman" w:cs="Times New Roman"/>
          <w:sz w:val="24"/>
          <w:szCs w:val="24"/>
        </w:rPr>
        <w:t>Leeya Ressom</w:t>
      </w:r>
    </w:p>
    <w:p w:rsidR="003913D8" w:rsidRDefault="00026457">
      <w:pPr>
        <w:pStyle w:val="normal0"/>
      </w:pPr>
      <w:r>
        <w:rPr>
          <w:rFonts w:ascii="Times New Roman" w:eastAsia="Times New Roman" w:hAnsi="Times New Roman" w:cs="Times New Roman"/>
          <w:sz w:val="24"/>
          <w:szCs w:val="24"/>
        </w:rPr>
        <w:t>Enterprise IT Architecture</w:t>
      </w:r>
    </w:p>
    <w:p w:rsidR="003913D8" w:rsidRDefault="00026457">
      <w:pPr>
        <w:pStyle w:val="normal0"/>
      </w:pPr>
      <w:r>
        <w:rPr>
          <w:rFonts w:ascii="Times New Roman" w:eastAsia="Times New Roman" w:hAnsi="Times New Roman" w:cs="Times New Roman"/>
          <w:sz w:val="24"/>
          <w:szCs w:val="24"/>
        </w:rPr>
        <w:t>MIS 2501</w:t>
      </w:r>
    </w:p>
    <w:p w:rsidR="003913D8" w:rsidRDefault="00026457">
      <w:pPr>
        <w:pStyle w:val="normal0"/>
      </w:pPr>
      <w:r>
        <w:rPr>
          <w:rFonts w:ascii="Times New Roman" w:eastAsia="Times New Roman" w:hAnsi="Times New Roman" w:cs="Times New Roman"/>
          <w:sz w:val="24"/>
          <w:szCs w:val="24"/>
        </w:rPr>
        <w:t>10/11/2016</w:t>
      </w:r>
    </w:p>
    <w:p w:rsidR="003913D8" w:rsidRDefault="003913D8">
      <w:pPr>
        <w:pStyle w:val="normal0"/>
      </w:pPr>
    </w:p>
    <w:p w:rsidR="003913D8" w:rsidRDefault="00026457">
      <w:pPr>
        <w:pStyle w:val="normal0"/>
        <w:jc w:val="center"/>
      </w:pPr>
      <w:r>
        <w:rPr>
          <w:rFonts w:ascii="Times New Roman" w:eastAsia="Times New Roman" w:hAnsi="Times New Roman" w:cs="Times New Roman"/>
          <w:sz w:val="24"/>
          <w:szCs w:val="24"/>
          <w:u w:val="single"/>
        </w:rPr>
        <w:t>Flash Research Paper #3 - SharePoint</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Our firm can gain a net benefit of $1,846,250 over the next three years by investing in SharePoint. SharePoint is a platform that allows individuals in an organization to easily create and manage their own collaborative websites. This business collaboratio</w:t>
      </w:r>
      <w:r>
        <w:rPr>
          <w:rFonts w:ascii="Times New Roman" w:eastAsia="Times New Roman" w:hAnsi="Times New Roman" w:cs="Times New Roman"/>
          <w:sz w:val="24"/>
          <w:szCs w:val="24"/>
        </w:rPr>
        <w:t>n platform will allow our project management professionals (PMP) to create more value for our clients and increase their billable hours, rather than wasting time managing documents.</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SharePoint is an easy-to-use software that simplifies how indiv</w:t>
      </w:r>
      <w:r>
        <w:rPr>
          <w:rFonts w:ascii="Times New Roman" w:eastAsia="Times New Roman" w:hAnsi="Times New Roman" w:cs="Times New Roman"/>
          <w:sz w:val="24"/>
          <w:szCs w:val="24"/>
        </w:rPr>
        <w:t>iduals can locate and share information between different parties, which ultimately enables efficiency. This organizational platform will allow our groups to easily build secure websites, effectively manage and edit relevant information, increase team coll</w:t>
      </w:r>
      <w:r>
        <w:rPr>
          <w:rFonts w:ascii="Times New Roman" w:eastAsia="Times New Roman" w:hAnsi="Times New Roman" w:cs="Times New Roman"/>
          <w:sz w:val="24"/>
          <w:szCs w:val="24"/>
        </w:rPr>
        <w:t xml:space="preserve">aboration and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improve communication. Implementing SharePoint will benefit our firm because productivity will increase amongst our PMPs. Backlogs of work will be eliminated which means billable hours and revenue will increase.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ind w:firstLine="720"/>
      </w:pPr>
      <w:r>
        <w:rPr>
          <w:rFonts w:ascii="Times New Roman" w:eastAsia="Times New Roman" w:hAnsi="Times New Roman" w:cs="Times New Roman"/>
          <w:sz w:val="24"/>
          <w:szCs w:val="24"/>
        </w:rPr>
        <w:t>Implementing SharePoint, p</w:t>
      </w:r>
      <w:r>
        <w:rPr>
          <w:rFonts w:ascii="Times New Roman" w:eastAsia="Times New Roman" w:hAnsi="Times New Roman" w:cs="Times New Roman"/>
          <w:sz w:val="24"/>
          <w:szCs w:val="24"/>
        </w:rPr>
        <w:t xml:space="preserve">aying maintenance fees and paying for a Sharepoint expert over a three-year period will cost $25,3750. However, the benefits of using SharePoint over three years will be $2,100,000. Overall, our firm’s net benefit in three years will be $1,846,250. </w:t>
      </w:r>
    </w:p>
    <w:p w:rsidR="003913D8" w:rsidRDefault="003913D8">
      <w:pPr>
        <w:pStyle w:val="normal0"/>
      </w:pP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 </w:t>
      </w:r>
    </w:p>
    <w:p w:rsidR="003913D8" w:rsidRDefault="003913D8">
      <w:pPr>
        <w:pStyle w:val="normal0"/>
      </w:pPr>
    </w:p>
    <w:p w:rsidR="003913D8" w:rsidRDefault="003913D8">
      <w:pPr>
        <w:pStyle w:val="normal0"/>
      </w:pP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jc w:val="center"/>
      </w:pPr>
      <w:r>
        <w:rPr>
          <w:rFonts w:ascii="Times New Roman" w:eastAsia="Times New Roman" w:hAnsi="Times New Roman" w:cs="Times New Roman"/>
          <w:sz w:val="24"/>
          <w:szCs w:val="24"/>
          <w:u w:val="single"/>
        </w:rPr>
        <w:t>Work Cited</w:t>
      </w:r>
    </w:p>
    <w:p w:rsidR="003913D8" w:rsidRDefault="00026457">
      <w:pPr>
        <w:pStyle w:val="normal0"/>
        <w:jc w:val="center"/>
      </w:pPr>
      <w:r>
        <w:rPr>
          <w:rFonts w:ascii="Times New Roman" w:eastAsia="Times New Roman" w:hAnsi="Times New Roman" w:cs="Times New Roman"/>
          <w:sz w:val="24"/>
          <w:szCs w:val="24"/>
          <w:u w:val="single"/>
        </w:rPr>
        <w:t xml:space="preserve"> </w:t>
      </w:r>
    </w:p>
    <w:p w:rsidR="003913D8" w:rsidRDefault="00026457">
      <w:pPr>
        <w:pStyle w:val="normal0"/>
      </w:pPr>
      <w:r>
        <w:rPr>
          <w:rFonts w:ascii="Times New Roman" w:eastAsia="Times New Roman" w:hAnsi="Times New Roman" w:cs="Times New Roman"/>
          <w:sz w:val="24"/>
          <w:szCs w:val="24"/>
        </w:rPr>
        <w:lastRenderedPageBreak/>
        <w:t xml:space="preserve">Sy, Dux Raymond. "What Is SharePoint?" </w:t>
      </w:r>
      <w:r>
        <w:rPr>
          <w:rFonts w:ascii="Times New Roman" w:eastAsia="Times New Roman" w:hAnsi="Times New Roman" w:cs="Times New Roman"/>
          <w:i/>
          <w:sz w:val="24"/>
          <w:szCs w:val="24"/>
        </w:rPr>
        <w:t>Interlab</w:t>
      </w:r>
      <w:r>
        <w:rPr>
          <w:rFonts w:ascii="Times New Roman" w:eastAsia="Times New Roman" w:hAnsi="Times New Roman" w:cs="Times New Roman"/>
          <w:sz w:val="24"/>
          <w:szCs w:val="24"/>
        </w:rPr>
        <w:t xml:space="preserve"> 1.21 (2009): n. pag. Brookhaven National </w:t>
      </w:r>
      <w:r>
        <w:rPr>
          <w:rFonts w:ascii="Times New Roman" w:eastAsia="Times New Roman" w:hAnsi="Times New Roman" w:cs="Times New Roman"/>
          <w:color w:val="FFFFFF"/>
          <w:sz w:val="24"/>
          <w:szCs w:val="24"/>
        </w:rPr>
        <w:t>vvvvv</w:t>
      </w:r>
      <w:r>
        <w:rPr>
          <w:rFonts w:ascii="Times New Roman" w:eastAsia="Times New Roman" w:hAnsi="Times New Roman" w:cs="Times New Roman"/>
          <w:sz w:val="24"/>
          <w:szCs w:val="24"/>
        </w:rPr>
        <w:t>Library. Web.</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"What Is SharePoint?" </w:t>
      </w:r>
      <w:r>
        <w:rPr>
          <w:rFonts w:ascii="Times New Roman" w:eastAsia="Times New Roman" w:hAnsi="Times New Roman" w:cs="Times New Roman"/>
          <w:i/>
          <w:sz w:val="24"/>
          <w:szCs w:val="24"/>
        </w:rPr>
        <w:t xml:space="preserve">JFDI SharePoint IoT Middleware Brighton Sussex UK Automate </w:t>
      </w:r>
      <w:r>
        <w:rPr>
          <w:rFonts w:ascii="Times New Roman" w:eastAsia="Times New Roman" w:hAnsi="Times New Roman" w:cs="Times New Roman"/>
          <w:i/>
          <w:color w:val="FFFFFF"/>
          <w:sz w:val="24"/>
          <w:szCs w:val="24"/>
        </w:rPr>
        <w:t>vvvvv</w:t>
      </w:r>
      <w:r>
        <w:rPr>
          <w:rFonts w:ascii="Times New Roman" w:eastAsia="Times New Roman" w:hAnsi="Times New Roman" w:cs="Times New Roman"/>
          <w:i/>
          <w:sz w:val="24"/>
          <w:szCs w:val="24"/>
        </w:rPr>
        <w:t>Everything Motivate Everyone</w:t>
      </w:r>
      <w:r>
        <w:rPr>
          <w:rFonts w:ascii="Times New Roman" w:eastAsia="Times New Roman" w:hAnsi="Times New Roman" w:cs="Times New Roman"/>
          <w:sz w:val="24"/>
          <w:szCs w:val="24"/>
        </w:rPr>
        <w:t>. JFDI, 07 June 2016. Web. 07 Nov. 2016.</w:t>
      </w:r>
    </w:p>
    <w:p w:rsidR="003913D8" w:rsidRDefault="00026457">
      <w:pPr>
        <w:pStyle w:val="normal0"/>
      </w:pPr>
      <w:r>
        <w:rPr>
          <w:rFonts w:ascii="Times New Roman" w:eastAsia="Times New Roman" w:hAnsi="Times New Roman" w:cs="Times New Roman"/>
          <w:sz w:val="24"/>
          <w:szCs w:val="24"/>
        </w:rPr>
        <w:t xml:space="preserve"> </w:t>
      </w:r>
    </w:p>
    <w:p w:rsidR="003913D8" w:rsidRDefault="00026457">
      <w:pPr>
        <w:pStyle w:val="normal0"/>
      </w:pPr>
      <w:r>
        <w:rPr>
          <w:rFonts w:ascii="Times New Roman" w:eastAsia="Times New Roman" w:hAnsi="Times New Roman" w:cs="Times New Roman"/>
          <w:sz w:val="24"/>
          <w:szCs w:val="24"/>
        </w:rPr>
        <w:t xml:space="preserve">Beal, By Vangie. "Microsoft Office SharePoint Server." </w:t>
      </w:r>
      <w:r>
        <w:rPr>
          <w:rFonts w:ascii="Times New Roman" w:eastAsia="Times New Roman" w:hAnsi="Times New Roman" w:cs="Times New Roman"/>
          <w:i/>
          <w:sz w:val="24"/>
          <w:szCs w:val="24"/>
        </w:rPr>
        <w:t>Microsoft Office SharePoint Server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FFFF"/>
          <w:sz w:val="24"/>
          <w:szCs w:val="24"/>
        </w:rPr>
        <w:t>vvvvvv</w:t>
      </w:r>
      <w:r>
        <w:rPr>
          <w:rFonts w:ascii="Times New Roman" w:eastAsia="Times New Roman" w:hAnsi="Times New Roman" w:cs="Times New Roman"/>
          <w:sz w:val="24"/>
          <w:szCs w:val="24"/>
        </w:rPr>
        <w:t>Webopedia Definition, n.d. Web. 07 Nov. 2016.</w:t>
      </w:r>
    </w:p>
    <w:p w:rsidR="003913D8" w:rsidRDefault="00026457">
      <w:pPr>
        <w:pStyle w:val="normal0"/>
      </w:pPr>
      <w:r>
        <w:rPr>
          <w:rFonts w:ascii="Times New Roman" w:eastAsia="Times New Roman" w:hAnsi="Times New Roman" w:cs="Times New Roman"/>
          <w:sz w:val="24"/>
          <w:szCs w:val="24"/>
        </w:rPr>
        <w:t xml:space="preserve"> </w:t>
      </w:r>
    </w:p>
    <w:tbl>
      <w:tblPr>
        <w:tblStyle w:val="a"/>
        <w:tblW w:w="8070" w:type="dxa"/>
        <w:tblBorders>
          <w:top w:val="nil"/>
          <w:left w:val="nil"/>
          <w:bottom w:val="nil"/>
          <w:right w:val="nil"/>
          <w:insideH w:val="nil"/>
          <w:insideV w:val="nil"/>
        </w:tblBorders>
        <w:tblLayout w:type="fixed"/>
        <w:tblLook w:val="0600" w:firstRow="0" w:lastRow="0" w:firstColumn="0" w:lastColumn="0" w:noHBand="1" w:noVBand="1"/>
      </w:tblPr>
      <w:tblGrid>
        <w:gridCol w:w="2370"/>
        <w:gridCol w:w="1305"/>
        <w:gridCol w:w="1305"/>
        <w:gridCol w:w="1380"/>
        <w:gridCol w:w="1710"/>
      </w:tblGrid>
      <w:tr w:rsidR="003913D8">
        <w:tc>
          <w:tcPr>
            <w:tcW w:w="2370"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rsidR="003913D8" w:rsidRDefault="00026457">
            <w:pPr>
              <w:pStyle w:val="normal0"/>
            </w:pPr>
            <w:r>
              <w:rPr>
                <w:b/>
                <w:shd w:val="clear" w:color="auto" w:fill="BDD7EE"/>
              </w:rPr>
              <w:t>Benefits</w:t>
            </w:r>
          </w:p>
        </w:tc>
        <w:tc>
          <w:tcPr>
            <w:tcW w:w="13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Yr.1</w:t>
            </w:r>
          </w:p>
        </w:tc>
        <w:tc>
          <w:tcPr>
            <w:tcW w:w="13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 2</w:t>
            </w:r>
          </w:p>
        </w:tc>
        <w:tc>
          <w:tcPr>
            <w:tcW w:w="138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 3</w:t>
            </w:r>
          </w:p>
        </w:tc>
        <w:tc>
          <w:tcPr>
            <w:tcW w:w="171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Total</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With Sha</w:t>
            </w:r>
            <w:r>
              <w:rPr>
                <w:b/>
              </w:rPr>
              <w:t>repoint</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$3,325,000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$3,325,000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$3,325,000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$9,975,000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Without Sharepoint</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$2,625,000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$2,625,000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$2,625,000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$7,875,000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rPr>
                <w:b/>
              </w:rPr>
              <w:t>Total Benefits</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$700,000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$700,000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$700,000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rPr>
                <w:b/>
              </w:rPr>
              <w:t>$2,100,000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r>
      <w:tr w:rsidR="003913D8">
        <w:tc>
          <w:tcPr>
            <w:tcW w:w="2370" w:type="dxa"/>
            <w:tcBorders>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vAlign w:val="bottom"/>
          </w:tcPr>
          <w:p w:rsidR="003913D8" w:rsidRDefault="00026457">
            <w:pPr>
              <w:pStyle w:val="normal0"/>
            </w:pPr>
            <w:r>
              <w:rPr>
                <w:b/>
                <w:shd w:val="clear" w:color="auto" w:fill="BDD7EE"/>
              </w:rPr>
              <w:t>Costs</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Yr.1</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 2</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 3</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Total</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Sharepoint Purchase</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$100,000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$100,000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Sharepoint Maintenance</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$18,000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$18,000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$18,000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$54,000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PMP Expert</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$33,250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$33,250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$33,250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$99,750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rPr>
                <w:b/>
              </w:rPr>
              <w:t>Total Costs</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$151,250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$51,250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$51,250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rPr>
                <w:b/>
              </w:rPr>
              <w:t>$253,750</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r>
      <w:tr w:rsidR="003913D8">
        <w:tc>
          <w:tcPr>
            <w:tcW w:w="2370" w:type="dxa"/>
            <w:tcBorders>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vAlign w:val="bottom"/>
          </w:tcPr>
          <w:p w:rsidR="003913D8" w:rsidRDefault="00026457">
            <w:pPr>
              <w:pStyle w:val="normal0"/>
            </w:pPr>
            <w:r>
              <w:rPr>
                <w:b/>
                <w:shd w:val="clear" w:color="auto" w:fill="BDD6EE"/>
              </w:rPr>
              <w:t>Net Benefit</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Yr.1</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 2</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Yr. 3</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rPr>
                <w:b/>
              </w:rPr>
              <w:t>Total</w:t>
            </w:r>
          </w:p>
        </w:tc>
      </w:tr>
      <w:tr w:rsidR="003913D8">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pPr>
            <w:r>
              <w:t xml:space="preserve"> </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$3,173,750</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$3,273,750</w:t>
            </w:r>
          </w:p>
        </w:tc>
        <w:tc>
          <w:tcPr>
            <w:tcW w:w="138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t>$3,273,750</w:t>
            </w:r>
          </w:p>
        </w:tc>
        <w:tc>
          <w:tcPr>
            <w:tcW w:w="1710" w:type="dxa"/>
            <w:tcBorders>
              <w:bottom w:val="single" w:sz="8" w:space="0" w:color="000000"/>
              <w:right w:val="single" w:sz="8" w:space="0" w:color="000000"/>
            </w:tcBorders>
            <w:tcMar>
              <w:top w:w="100" w:type="dxa"/>
              <w:left w:w="100" w:type="dxa"/>
              <w:bottom w:w="100" w:type="dxa"/>
              <w:right w:w="100" w:type="dxa"/>
            </w:tcMar>
            <w:vAlign w:val="bottom"/>
          </w:tcPr>
          <w:p w:rsidR="003913D8" w:rsidRDefault="00026457">
            <w:pPr>
              <w:pStyle w:val="normal0"/>
              <w:jc w:val="right"/>
            </w:pPr>
            <w:r>
              <w:rPr>
                <w:b/>
              </w:rPr>
              <w:t>$1,846,250</w:t>
            </w:r>
          </w:p>
        </w:tc>
      </w:tr>
    </w:tbl>
    <w:p w:rsidR="003913D8" w:rsidRDefault="00026457">
      <w:pPr>
        <w:pStyle w:val="normal0"/>
      </w:pPr>
      <w:r>
        <w:rPr>
          <w:rFonts w:ascii="Times New Roman" w:eastAsia="Times New Roman" w:hAnsi="Times New Roman" w:cs="Times New Roman"/>
          <w:sz w:val="24"/>
          <w:szCs w:val="24"/>
        </w:rPr>
        <w:t xml:space="preserve"> </w:t>
      </w:r>
    </w:p>
    <w:p w:rsidR="003913D8" w:rsidRDefault="003913D8">
      <w:pPr>
        <w:pStyle w:val="normal0"/>
      </w:pPr>
    </w:p>
    <w:sectPr w:rsidR="003913D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457">
      <w:pPr>
        <w:spacing w:line="240" w:lineRule="auto"/>
      </w:pPr>
      <w:r>
        <w:separator/>
      </w:r>
    </w:p>
  </w:endnote>
  <w:endnote w:type="continuationSeparator" w:id="0">
    <w:p w:rsidR="00000000" w:rsidRDefault="0002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457">
      <w:pPr>
        <w:spacing w:line="240" w:lineRule="auto"/>
      </w:pPr>
      <w:r>
        <w:separator/>
      </w:r>
    </w:p>
  </w:footnote>
  <w:footnote w:type="continuationSeparator" w:id="0">
    <w:p w:rsidR="00000000" w:rsidRDefault="0002645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D8" w:rsidRDefault="003913D8">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13D8"/>
    <w:rsid w:val="00026457"/>
    <w:rsid w:val="0039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Macintosh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Leeya</cp:lastModifiedBy>
  <cp:revision>2</cp:revision>
  <dcterms:created xsi:type="dcterms:W3CDTF">2016-12-09T05:10:00Z</dcterms:created>
  <dcterms:modified xsi:type="dcterms:W3CDTF">2016-12-09T05:10:00Z</dcterms:modified>
</cp:coreProperties>
</file>