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1658" w:rsidRDefault="00833075">
      <w:pPr>
        <w:pStyle w:val="normal0"/>
      </w:pPr>
      <w:r>
        <w:rPr>
          <w:rFonts w:ascii="Times New Roman" w:eastAsia="Times New Roman" w:hAnsi="Times New Roman" w:cs="Times New Roman"/>
        </w:rPr>
        <w:t xml:space="preserve">Leeya </w:t>
      </w:r>
      <w:proofErr w:type="spellStart"/>
      <w:r>
        <w:rPr>
          <w:rFonts w:ascii="Times New Roman" w:eastAsia="Times New Roman" w:hAnsi="Times New Roman" w:cs="Times New Roman"/>
        </w:rPr>
        <w:t>Ressom</w:t>
      </w:r>
      <w:proofErr w:type="spellEnd"/>
      <w:r>
        <w:rPr>
          <w:rFonts w:ascii="Times New Roman" w:eastAsia="Times New Roman" w:hAnsi="Times New Roman" w:cs="Times New Roman"/>
        </w:rPr>
        <w:t xml:space="preserve"> </w:t>
      </w:r>
    </w:p>
    <w:p w:rsidR="00CA1658" w:rsidRDefault="00833075">
      <w:pPr>
        <w:pStyle w:val="normal0"/>
      </w:pPr>
      <w:r>
        <w:rPr>
          <w:rFonts w:ascii="Times New Roman" w:eastAsia="Times New Roman" w:hAnsi="Times New Roman" w:cs="Times New Roman"/>
        </w:rPr>
        <w:t xml:space="preserve">Enterprise IT Architecture </w:t>
      </w:r>
    </w:p>
    <w:p w:rsidR="00CA1658" w:rsidRDefault="00833075">
      <w:pPr>
        <w:pStyle w:val="normal0"/>
      </w:pPr>
      <w:r>
        <w:rPr>
          <w:rFonts w:ascii="Times New Roman" w:eastAsia="Times New Roman" w:hAnsi="Times New Roman" w:cs="Times New Roman"/>
        </w:rPr>
        <w:t>MIS 2501</w:t>
      </w:r>
    </w:p>
    <w:p w:rsidR="00CA1658" w:rsidRDefault="00833075">
      <w:pPr>
        <w:pStyle w:val="normal0"/>
      </w:pPr>
      <w:r>
        <w:rPr>
          <w:rFonts w:ascii="Times New Roman" w:eastAsia="Times New Roman" w:hAnsi="Times New Roman" w:cs="Times New Roman"/>
        </w:rPr>
        <w:t xml:space="preserve">10/11/2016 </w:t>
      </w:r>
    </w:p>
    <w:p w:rsidR="00CA1658" w:rsidRDefault="00CA1658">
      <w:pPr>
        <w:pStyle w:val="normal0"/>
      </w:pPr>
    </w:p>
    <w:p w:rsidR="00CA1658" w:rsidRDefault="00833075">
      <w:pPr>
        <w:pStyle w:val="normal0"/>
        <w:jc w:val="center"/>
      </w:pPr>
      <w:r>
        <w:rPr>
          <w:rFonts w:ascii="Times New Roman" w:eastAsia="Times New Roman" w:hAnsi="Times New Roman" w:cs="Times New Roman"/>
          <w:u w:val="single"/>
        </w:rPr>
        <w:t xml:space="preserve">Flash Research Paper #2 - Virtualization and Cloud Computing </w:t>
      </w:r>
    </w:p>
    <w:p w:rsidR="00833075" w:rsidRDefault="00833075">
      <w:pPr>
        <w:pStyle w:val="normal0"/>
        <w:rPr>
          <w:rFonts w:ascii="Times New Roman" w:eastAsia="Times New Roman" w:hAnsi="Times New Roman" w:cs="Times New Roman"/>
          <w:u w:val="single"/>
        </w:rPr>
      </w:pPr>
    </w:p>
    <w:p w:rsidR="00CA1658" w:rsidRDefault="00833075">
      <w:pPr>
        <w:pStyle w:val="normal0"/>
      </w:pPr>
      <w:bookmarkStart w:id="0" w:name="_GoBack"/>
      <w:bookmarkEnd w:id="0"/>
      <w:r>
        <w:rPr>
          <w:rFonts w:ascii="Times New Roman" w:eastAsia="Times New Roman" w:hAnsi="Times New Roman" w:cs="Times New Roman"/>
        </w:rPr>
        <w:tab/>
      </w:r>
      <w:r>
        <w:rPr>
          <w:rFonts w:ascii="Times New Roman" w:eastAsia="Times New Roman" w:hAnsi="Times New Roman" w:cs="Times New Roman"/>
        </w:rPr>
        <w:t>Our manufacturing company can save $9.2 million by using virtualization technology, such as VMware, to consolidate our current server. Virtualization uses software to simulate the existence of a computer hardware that allows a single machine to act as if i</w:t>
      </w:r>
      <w:r>
        <w:rPr>
          <w:rFonts w:ascii="Times New Roman" w:eastAsia="Times New Roman" w:hAnsi="Times New Roman" w:cs="Times New Roman"/>
        </w:rPr>
        <w:t xml:space="preserve">t were many machines. This upcoming hardware refresh cycle would be a great opportunity to adapt our current servers to virtualization technology to reduce expenses and increase efficiency. </w:t>
      </w:r>
    </w:p>
    <w:p w:rsidR="00CA1658" w:rsidRDefault="00CA1658">
      <w:pPr>
        <w:pStyle w:val="normal0"/>
      </w:pPr>
    </w:p>
    <w:p w:rsidR="00CA1658" w:rsidRDefault="00833075">
      <w:pPr>
        <w:pStyle w:val="normal0"/>
      </w:pPr>
      <w:r>
        <w:rPr>
          <w:rFonts w:ascii="Times New Roman" w:eastAsia="Times New Roman" w:hAnsi="Times New Roman" w:cs="Times New Roman"/>
        </w:rPr>
        <w:tab/>
        <w:t>VMware would be ideal because it allows us to run multiple virt</w:t>
      </w:r>
      <w:r>
        <w:rPr>
          <w:rFonts w:ascii="Times New Roman" w:eastAsia="Times New Roman" w:hAnsi="Times New Roman" w:cs="Times New Roman"/>
        </w:rPr>
        <w:t>ual machines on a single physical machine, with each virtual machine sharing the resources of one physical computer across multiple environments. This would reduce our physical servers from 1,000 to only 200 physical servers and 80 virtual machines. In tho</w:t>
      </w:r>
      <w:r>
        <w:rPr>
          <w:rFonts w:ascii="Times New Roman" w:eastAsia="Times New Roman" w:hAnsi="Times New Roman" w:cs="Times New Roman"/>
        </w:rPr>
        <w:t>se 80 virtual machines, our company would be allowed to utilize various operating systems and multiple applications on the same physical computer. Implementing this new system would minimize downtime, reduce operating costs and supply applications and reso</w:t>
      </w:r>
      <w:r>
        <w:rPr>
          <w:rFonts w:ascii="Times New Roman" w:eastAsia="Times New Roman" w:hAnsi="Times New Roman" w:cs="Times New Roman"/>
        </w:rPr>
        <w:t xml:space="preserve">urces quicker. </w:t>
      </w:r>
    </w:p>
    <w:p w:rsidR="00CA1658" w:rsidRDefault="00CA1658">
      <w:pPr>
        <w:pStyle w:val="normal0"/>
      </w:pPr>
    </w:p>
    <w:p w:rsidR="00CA1658" w:rsidRDefault="00833075">
      <w:pPr>
        <w:pStyle w:val="normal0"/>
      </w:pPr>
      <w:r>
        <w:rPr>
          <w:rFonts w:ascii="Times New Roman" w:eastAsia="Times New Roman" w:hAnsi="Times New Roman" w:cs="Times New Roman"/>
        </w:rPr>
        <w:tab/>
        <w:t>Over a three-year period, the implementation and maintenance of VMware to 80 virtual machines and 200 physical machines will cost us $4.8 million. However, removing our current servers and maintenance will benefit the company $14 million.</w:t>
      </w:r>
      <w:r>
        <w:rPr>
          <w:rFonts w:ascii="Times New Roman" w:eastAsia="Times New Roman" w:hAnsi="Times New Roman" w:cs="Times New Roman"/>
        </w:rPr>
        <w:t xml:space="preserve"> By year three, our company will have acquired a total net benefit of $9.2 million. Investing in VMware will decrease our number of servers and increase cost-efficiency. </w:t>
      </w:r>
    </w:p>
    <w:p w:rsidR="00CA1658" w:rsidRDefault="00833075">
      <w:pPr>
        <w:pStyle w:val="normal0"/>
      </w:pPr>
      <w:r>
        <w:rPr>
          <w:rFonts w:ascii="Times New Roman" w:eastAsia="Times New Roman" w:hAnsi="Times New Roman" w:cs="Times New Roman"/>
        </w:rPr>
        <w:tab/>
      </w:r>
    </w:p>
    <w:p w:rsidR="00CA1658" w:rsidRDefault="00CA1658">
      <w:pPr>
        <w:pStyle w:val="normal0"/>
      </w:pPr>
    </w:p>
    <w:p w:rsidR="00CA1658" w:rsidRDefault="00CA1658">
      <w:pPr>
        <w:pStyle w:val="normal0"/>
      </w:pPr>
    </w:p>
    <w:p w:rsidR="00CA1658" w:rsidRDefault="00CA1658">
      <w:pPr>
        <w:pStyle w:val="normal0"/>
      </w:pPr>
    </w:p>
    <w:p w:rsidR="00CA1658" w:rsidRDefault="00CA1658">
      <w:pPr>
        <w:pStyle w:val="normal0"/>
        <w:jc w:val="center"/>
      </w:pPr>
    </w:p>
    <w:p w:rsidR="00CA1658" w:rsidRDefault="00CA1658">
      <w:pPr>
        <w:pStyle w:val="normal0"/>
        <w:jc w:val="center"/>
      </w:pPr>
    </w:p>
    <w:p w:rsidR="00CA1658" w:rsidRDefault="00CA1658">
      <w:pPr>
        <w:pStyle w:val="normal0"/>
        <w:jc w:val="center"/>
      </w:pPr>
    </w:p>
    <w:p w:rsidR="00CA1658" w:rsidRDefault="00CA1658">
      <w:pPr>
        <w:pStyle w:val="normal0"/>
        <w:jc w:val="center"/>
      </w:pPr>
    </w:p>
    <w:p w:rsidR="00CA1658" w:rsidRDefault="00CA1658">
      <w:pPr>
        <w:pStyle w:val="normal0"/>
        <w:jc w:val="center"/>
      </w:pPr>
    </w:p>
    <w:p w:rsidR="00CA1658" w:rsidRDefault="00CA1658">
      <w:pPr>
        <w:pStyle w:val="normal0"/>
        <w:jc w:val="center"/>
      </w:pPr>
    </w:p>
    <w:p w:rsidR="00CA1658" w:rsidRDefault="00CA1658">
      <w:pPr>
        <w:pStyle w:val="normal0"/>
      </w:pPr>
    </w:p>
    <w:p w:rsidR="00CA1658" w:rsidRDefault="00CA1658">
      <w:pPr>
        <w:pStyle w:val="normal0"/>
      </w:pPr>
    </w:p>
    <w:p w:rsidR="00CA1658" w:rsidRDefault="00CA1658">
      <w:pPr>
        <w:pStyle w:val="normal0"/>
      </w:pPr>
    </w:p>
    <w:p w:rsidR="00CA1658" w:rsidRDefault="00CA1658">
      <w:pPr>
        <w:pStyle w:val="normal0"/>
      </w:pPr>
    </w:p>
    <w:p w:rsidR="00CA1658" w:rsidRDefault="00CA1658">
      <w:pPr>
        <w:pStyle w:val="normal0"/>
      </w:pPr>
    </w:p>
    <w:p w:rsidR="00CA1658" w:rsidRDefault="00CA1658">
      <w:pPr>
        <w:pStyle w:val="normal0"/>
        <w:jc w:val="center"/>
      </w:pPr>
    </w:p>
    <w:p w:rsidR="00CA1658" w:rsidRDefault="00CA1658">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6"/>
        <w:gridCol w:w="1545"/>
        <w:gridCol w:w="1635"/>
        <w:gridCol w:w="1882"/>
        <w:gridCol w:w="1882"/>
      </w:tblGrid>
      <w:tr w:rsidR="00CA1658">
        <w:tc>
          <w:tcPr>
            <w:tcW w:w="2415" w:type="dxa"/>
            <w:shd w:val="clear" w:color="auto" w:fill="9FC5E8"/>
            <w:tcMar>
              <w:top w:w="100" w:type="dxa"/>
              <w:left w:w="100" w:type="dxa"/>
              <w:bottom w:w="100" w:type="dxa"/>
              <w:right w:w="100" w:type="dxa"/>
            </w:tcMar>
          </w:tcPr>
          <w:p w:rsidR="00CA1658" w:rsidRDefault="00833075">
            <w:pPr>
              <w:pStyle w:val="normal0"/>
              <w:widowControl w:val="0"/>
              <w:spacing w:line="240" w:lineRule="auto"/>
            </w:pPr>
            <w:r>
              <w:rPr>
                <w:rFonts w:ascii="Times New Roman" w:eastAsia="Times New Roman" w:hAnsi="Times New Roman" w:cs="Times New Roman"/>
              </w:rPr>
              <w:t>Current Technology</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Year 1</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2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3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Total </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lastRenderedPageBreak/>
              <w:t xml:space="preserve">Server Cost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$8,000,000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 xml:space="preserve">$0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$8,000,000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Server Maintenance</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$2,000,000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$2,000,000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$2,000,000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$6,000,000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right"/>
            </w:pPr>
            <w:r>
              <w:rPr>
                <w:rFonts w:ascii="Times New Roman" w:eastAsia="Times New Roman" w:hAnsi="Times New Roman" w:cs="Times New Roman"/>
                <w:b/>
              </w:rPr>
              <w:t xml:space="preserve">Total Cost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$10,000,000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$2,000,000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$2,000,000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$14,000,000</w:t>
            </w:r>
          </w:p>
        </w:tc>
      </w:tr>
      <w:tr w:rsidR="00CA1658">
        <w:trPr>
          <w:trHeight w:val="500"/>
        </w:trPr>
        <w:tc>
          <w:tcPr>
            <w:tcW w:w="2415" w:type="dxa"/>
            <w:tcMar>
              <w:top w:w="100" w:type="dxa"/>
              <w:left w:w="100" w:type="dxa"/>
              <w:bottom w:w="100" w:type="dxa"/>
              <w:right w:w="100" w:type="dxa"/>
            </w:tcMar>
          </w:tcPr>
          <w:p w:rsidR="00CA1658" w:rsidRDefault="00CA1658">
            <w:pPr>
              <w:pStyle w:val="normal0"/>
              <w:widowControl w:val="0"/>
              <w:spacing w:line="240" w:lineRule="auto"/>
            </w:pPr>
          </w:p>
        </w:tc>
        <w:tc>
          <w:tcPr>
            <w:tcW w:w="1545" w:type="dxa"/>
            <w:tcMar>
              <w:top w:w="100" w:type="dxa"/>
              <w:left w:w="100" w:type="dxa"/>
              <w:bottom w:w="100" w:type="dxa"/>
              <w:right w:w="100" w:type="dxa"/>
            </w:tcMar>
          </w:tcPr>
          <w:p w:rsidR="00CA1658" w:rsidRDefault="00CA1658">
            <w:pPr>
              <w:pStyle w:val="normal0"/>
              <w:widowControl w:val="0"/>
              <w:spacing w:line="240" w:lineRule="auto"/>
            </w:pPr>
          </w:p>
        </w:tc>
        <w:tc>
          <w:tcPr>
            <w:tcW w:w="1635" w:type="dxa"/>
            <w:tcMar>
              <w:top w:w="100" w:type="dxa"/>
              <w:left w:w="100" w:type="dxa"/>
              <w:bottom w:w="100" w:type="dxa"/>
              <w:right w:w="100" w:type="dxa"/>
            </w:tcMar>
          </w:tcPr>
          <w:p w:rsidR="00CA1658" w:rsidRDefault="00CA1658">
            <w:pPr>
              <w:pStyle w:val="normal0"/>
              <w:widowControl w:val="0"/>
              <w:spacing w:line="240" w:lineRule="auto"/>
            </w:pPr>
          </w:p>
        </w:tc>
        <w:tc>
          <w:tcPr>
            <w:tcW w:w="1882" w:type="dxa"/>
            <w:tcMar>
              <w:top w:w="100" w:type="dxa"/>
              <w:left w:w="100" w:type="dxa"/>
              <w:bottom w:w="100" w:type="dxa"/>
              <w:right w:w="100" w:type="dxa"/>
            </w:tcMar>
          </w:tcPr>
          <w:p w:rsidR="00CA1658" w:rsidRDefault="00CA1658">
            <w:pPr>
              <w:pStyle w:val="normal0"/>
              <w:widowControl w:val="0"/>
              <w:spacing w:line="240" w:lineRule="auto"/>
            </w:pPr>
          </w:p>
        </w:tc>
        <w:tc>
          <w:tcPr>
            <w:tcW w:w="1882" w:type="dxa"/>
            <w:tcMar>
              <w:top w:w="100" w:type="dxa"/>
              <w:left w:w="100" w:type="dxa"/>
              <w:bottom w:w="100" w:type="dxa"/>
              <w:right w:w="100" w:type="dxa"/>
            </w:tcMar>
          </w:tcPr>
          <w:p w:rsidR="00CA1658" w:rsidRDefault="00CA1658">
            <w:pPr>
              <w:pStyle w:val="normal0"/>
              <w:widowControl w:val="0"/>
              <w:spacing w:line="240" w:lineRule="auto"/>
            </w:pPr>
          </w:p>
        </w:tc>
      </w:tr>
      <w:tr w:rsidR="00CA1658">
        <w:tc>
          <w:tcPr>
            <w:tcW w:w="2415" w:type="dxa"/>
            <w:shd w:val="clear" w:color="auto" w:fill="9FC5E8"/>
            <w:tcMar>
              <w:top w:w="100" w:type="dxa"/>
              <w:left w:w="100" w:type="dxa"/>
              <w:bottom w:w="100" w:type="dxa"/>
              <w:right w:w="100" w:type="dxa"/>
            </w:tcMar>
          </w:tcPr>
          <w:p w:rsidR="00CA1658" w:rsidRDefault="00833075">
            <w:pPr>
              <w:pStyle w:val="normal0"/>
              <w:widowControl w:val="0"/>
              <w:spacing w:line="240" w:lineRule="auto"/>
            </w:pPr>
            <w:r>
              <w:rPr>
                <w:rFonts w:ascii="Times New Roman" w:eastAsia="Times New Roman" w:hAnsi="Times New Roman" w:cs="Times New Roman"/>
              </w:rPr>
              <w:t xml:space="preserve">New Technology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Year 1</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2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3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Total </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Cost of 200 Physical Servers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$1,600,000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$1,600,000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Maintenance cost for 200 physical servers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$400,000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$400,000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$400,000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$1,200,000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Cost of 80 Physical Servers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$1,280,000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$1,280,000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Maintenance cost for 80 physical servers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$240,000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$240,000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$240,000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$720,000</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right"/>
            </w:pPr>
            <w:r>
              <w:rPr>
                <w:rFonts w:ascii="Times New Roman" w:eastAsia="Times New Roman" w:hAnsi="Times New Roman" w:cs="Times New Roman"/>
                <w:b/>
              </w:rPr>
              <w:t>Total Costs</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 xml:space="preserve">$3,520,000 </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$640,000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$640,000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$4,800,800</w:t>
            </w:r>
          </w:p>
        </w:tc>
      </w:tr>
      <w:tr w:rsidR="00CA1658">
        <w:tc>
          <w:tcPr>
            <w:tcW w:w="2415" w:type="dxa"/>
            <w:tcMar>
              <w:top w:w="100" w:type="dxa"/>
              <w:left w:w="100" w:type="dxa"/>
              <w:bottom w:w="100" w:type="dxa"/>
              <w:right w:w="100" w:type="dxa"/>
            </w:tcMar>
          </w:tcPr>
          <w:p w:rsidR="00CA1658" w:rsidRDefault="00CA1658">
            <w:pPr>
              <w:pStyle w:val="normal0"/>
              <w:widowControl w:val="0"/>
              <w:spacing w:line="240" w:lineRule="auto"/>
            </w:pPr>
          </w:p>
        </w:tc>
        <w:tc>
          <w:tcPr>
            <w:tcW w:w="1545" w:type="dxa"/>
            <w:tcMar>
              <w:top w:w="100" w:type="dxa"/>
              <w:left w:w="100" w:type="dxa"/>
              <w:bottom w:w="100" w:type="dxa"/>
              <w:right w:w="100" w:type="dxa"/>
            </w:tcMar>
          </w:tcPr>
          <w:p w:rsidR="00CA1658" w:rsidRDefault="00CA1658">
            <w:pPr>
              <w:pStyle w:val="normal0"/>
              <w:widowControl w:val="0"/>
              <w:spacing w:line="240" w:lineRule="auto"/>
            </w:pPr>
          </w:p>
        </w:tc>
        <w:tc>
          <w:tcPr>
            <w:tcW w:w="1635" w:type="dxa"/>
            <w:tcMar>
              <w:top w:w="100" w:type="dxa"/>
              <w:left w:w="100" w:type="dxa"/>
              <w:bottom w:w="100" w:type="dxa"/>
              <w:right w:w="100" w:type="dxa"/>
            </w:tcMar>
          </w:tcPr>
          <w:p w:rsidR="00CA1658" w:rsidRDefault="00CA1658">
            <w:pPr>
              <w:pStyle w:val="normal0"/>
              <w:widowControl w:val="0"/>
              <w:spacing w:line="240" w:lineRule="auto"/>
            </w:pPr>
          </w:p>
        </w:tc>
        <w:tc>
          <w:tcPr>
            <w:tcW w:w="1882" w:type="dxa"/>
            <w:tcMar>
              <w:top w:w="100" w:type="dxa"/>
              <w:left w:w="100" w:type="dxa"/>
              <w:bottom w:w="100" w:type="dxa"/>
              <w:right w:w="100" w:type="dxa"/>
            </w:tcMar>
          </w:tcPr>
          <w:p w:rsidR="00CA1658" w:rsidRDefault="00CA1658">
            <w:pPr>
              <w:pStyle w:val="normal0"/>
              <w:widowControl w:val="0"/>
              <w:spacing w:line="240" w:lineRule="auto"/>
            </w:pPr>
          </w:p>
        </w:tc>
        <w:tc>
          <w:tcPr>
            <w:tcW w:w="1882" w:type="dxa"/>
            <w:tcMar>
              <w:top w:w="100" w:type="dxa"/>
              <w:left w:w="100" w:type="dxa"/>
              <w:bottom w:w="100" w:type="dxa"/>
              <w:right w:w="100" w:type="dxa"/>
            </w:tcMar>
          </w:tcPr>
          <w:p w:rsidR="00CA1658" w:rsidRDefault="00CA1658">
            <w:pPr>
              <w:pStyle w:val="normal0"/>
              <w:widowControl w:val="0"/>
              <w:spacing w:line="240" w:lineRule="auto"/>
            </w:pPr>
          </w:p>
        </w:tc>
      </w:tr>
      <w:tr w:rsidR="00CA1658">
        <w:tc>
          <w:tcPr>
            <w:tcW w:w="2415" w:type="dxa"/>
            <w:tcMar>
              <w:top w:w="100" w:type="dxa"/>
              <w:left w:w="100" w:type="dxa"/>
              <w:bottom w:w="100" w:type="dxa"/>
              <w:right w:w="100" w:type="dxa"/>
            </w:tcMar>
          </w:tcPr>
          <w:p w:rsidR="00CA1658" w:rsidRDefault="00CA1658">
            <w:pPr>
              <w:pStyle w:val="normal0"/>
              <w:widowControl w:val="0"/>
              <w:spacing w:line="240" w:lineRule="auto"/>
            </w:pP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Year 1</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2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Year 3 </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 xml:space="preserve">Total Savings </w:t>
            </w:r>
          </w:p>
        </w:tc>
      </w:tr>
      <w:tr w:rsidR="00CA1658">
        <w:tc>
          <w:tcPr>
            <w:tcW w:w="2415" w:type="dxa"/>
            <w:tcMar>
              <w:top w:w="100" w:type="dxa"/>
              <w:left w:w="100" w:type="dxa"/>
              <w:bottom w:w="100" w:type="dxa"/>
              <w:right w:w="100" w:type="dxa"/>
            </w:tcMar>
          </w:tcPr>
          <w:p w:rsidR="00CA1658" w:rsidRDefault="00833075">
            <w:pPr>
              <w:pStyle w:val="normal0"/>
              <w:widowControl w:val="0"/>
              <w:spacing w:line="240" w:lineRule="auto"/>
              <w:jc w:val="right"/>
            </w:pPr>
            <w:r>
              <w:rPr>
                <w:rFonts w:ascii="Times New Roman" w:eastAsia="Times New Roman" w:hAnsi="Times New Roman" w:cs="Times New Roman"/>
                <w:b/>
              </w:rPr>
              <w:t xml:space="preserve">Net Benefits </w:t>
            </w:r>
          </w:p>
        </w:tc>
        <w:tc>
          <w:tcPr>
            <w:tcW w:w="154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$6,480,000</w:t>
            </w:r>
          </w:p>
        </w:tc>
        <w:tc>
          <w:tcPr>
            <w:tcW w:w="1635"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$1,360,000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rPr>
              <w:t>$1,360,000</w:t>
            </w:r>
          </w:p>
        </w:tc>
        <w:tc>
          <w:tcPr>
            <w:tcW w:w="1882" w:type="dxa"/>
            <w:tcMar>
              <w:top w:w="100" w:type="dxa"/>
              <w:left w:w="100" w:type="dxa"/>
              <w:bottom w:w="100" w:type="dxa"/>
              <w:right w:w="100" w:type="dxa"/>
            </w:tcMar>
          </w:tcPr>
          <w:p w:rsidR="00CA1658" w:rsidRDefault="00833075">
            <w:pPr>
              <w:pStyle w:val="normal0"/>
              <w:widowControl w:val="0"/>
              <w:spacing w:line="240" w:lineRule="auto"/>
              <w:jc w:val="center"/>
            </w:pPr>
            <w:r>
              <w:rPr>
                <w:rFonts w:ascii="Times New Roman" w:eastAsia="Times New Roman" w:hAnsi="Times New Roman" w:cs="Times New Roman"/>
                <w:b/>
              </w:rPr>
              <w:t>$9,200,000</w:t>
            </w:r>
          </w:p>
        </w:tc>
      </w:tr>
    </w:tbl>
    <w:p w:rsidR="00CA1658" w:rsidRDefault="00CA1658">
      <w:pPr>
        <w:pStyle w:val="normal0"/>
      </w:pPr>
    </w:p>
    <w:p w:rsidR="00CA1658" w:rsidRDefault="00CA1658">
      <w:pPr>
        <w:pStyle w:val="normal0"/>
        <w:jc w:val="center"/>
      </w:pPr>
    </w:p>
    <w:p w:rsidR="00CA1658" w:rsidRDefault="00833075">
      <w:pPr>
        <w:pStyle w:val="normal0"/>
        <w:jc w:val="center"/>
      </w:pPr>
      <w:r>
        <w:rPr>
          <w:rFonts w:ascii="Times New Roman" w:eastAsia="Times New Roman" w:hAnsi="Times New Roman" w:cs="Times New Roman"/>
          <w:b/>
          <w:sz w:val="24"/>
          <w:szCs w:val="24"/>
          <w:u w:val="single"/>
        </w:rPr>
        <w:t>Work Cited</w:t>
      </w:r>
      <w:r>
        <w:rPr>
          <w:rFonts w:ascii="Times New Roman" w:eastAsia="Times New Roman" w:hAnsi="Times New Roman" w:cs="Times New Roman"/>
          <w:b/>
          <w:sz w:val="24"/>
          <w:szCs w:val="24"/>
        </w:rPr>
        <w:t xml:space="preserve"> </w:t>
      </w:r>
    </w:p>
    <w:p w:rsidR="00CA1658" w:rsidRDefault="00CA1658">
      <w:pPr>
        <w:pStyle w:val="normal0"/>
        <w:jc w:val="center"/>
      </w:pPr>
    </w:p>
    <w:p w:rsidR="00CA1658" w:rsidRDefault="00833075">
      <w:pPr>
        <w:pStyle w:val="normal0"/>
      </w:pPr>
      <w:r>
        <w:rPr>
          <w:sz w:val="21"/>
          <w:szCs w:val="21"/>
        </w:rPr>
        <w:t xml:space="preserve">"The Advantages of Using Virtualization Technology in the Enterprise." </w:t>
      </w:r>
      <w:proofErr w:type="gramStart"/>
      <w:r>
        <w:rPr>
          <w:i/>
          <w:sz w:val="21"/>
          <w:szCs w:val="21"/>
        </w:rPr>
        <w:t>Intel® Software</w:t>
      </w:r>
      <w:r>
        <w:rPr>
          <w:sz w:val="21"/>
          <w:szCs w:val="21"/>
        </w:rPr>
        <w:t>.</w:t>
      </w:r>
      <w:proofErr w:type="gramEnd"/>
      <w:r>
        <w:rPr>
          <w:sz w:val="21"/>
          <w:szCs w:val="21"/>
        </w:rPr>
        <w:t xml:space="preserve"> </w:t>
      </w:r>
      <w:proofErr w:type="gramStart"/>
      <w:r>
        <w:rPr>
          <w:sz w:val="21"/>
          <w:szCs w:val="21"/>
        </w:rPr>
        <w:t xml:space="preserve">Intel, 12 Mar. </w:t>
      </w:r>
      <w:proofErr w:type="spellStart"/>
      <w:r>
        <w:rPr>
          <w:color w:val="FFFFFF"/>
          <w:sz w:val="21"/>
          <w:szCs w:val="21"/>
        </w:rPr>
        <w:t>ckajsd</w:t>
      </w:r>
      <w:proofErr w:type="spellEnd"/>
      <w:r>
        <w:rPr>
          <w:color w:val="FFFFFF"/>
          <w:sz w:val="21"/>
          <w:szCs w:val="21"/>
        </w:rPr>
        <w:t xml:space="preserve"> </w:t>
      </w:r>
      <w:r>
        <w:rPr>
          <w:sz w:val="21"/>
          <w:szCs w:val="21"/>
        </w:rPr>
        <w:t>2012.</w:t>
      </w:r>
      <w:proofErr w:type="gramEnd"/>
      <w:r>
        <w:rPr>
          <w:sz w:val="21"/>
          <w:szCs w:val="21"/>
        </w:rPr>
        <w:t xml:space="preserve"> Web. 10 Oct. 2016.</w:t>
      </w:r>
    </w:p>
    <w:p w:rsidR="00CA1658" w:rsidRDefault="00CA1658">
      <w:pPr>
        <w:pStyle w:val="normal0"/>
      </w:pPr>
    </w:p>
    <w:p w:rsidR="00CA1658" w:rsidRDefault="00833075">
      <w:pPr>
        <w:pStyle w:val="normal0"/>
        <w:ind w:left="660" w:hanging="440"/>
      </w:pPr>
      <w:r>
        <w:rPr>
          <w:sz w:val="21"/>
          <w:szCs w:val="21"/>
        </w:rPr>
        <w:t>"What Is Virtualization.</w:t>
      </w:r>
      <w:proofErr w:type="gramStart"/>
      <w:r>
        <w:rPr>
          <w:sz w:val="21"/>
          <w:szCs w:val="21"/>
        </w:rPr>
        <w:t>"</w:t>
      </w:r>
      <w:proofErr w:type="gramEnd"/>
      <w:r>
        <w:rPr>
          <w:sz w:val="21"/>
          <w:szCs w:val="21"/>
        </w:rPr>
        <w:t xml:space="preserve"> </w:t>
      </w:r>
      <w:proofErr w:type="gramStart"/>
      <w:r>
        <w:rPr>
          <w:i/>
          <w:sz w:val="21"/>
          <w:szCs w:val="21"/>
        </w:rPr>
        <w:t>Virtualization Technology &amp; Virtual Machine Software</w:t>
      </w:r>
      <w:r>
        <w:rPr>
          <w:sz w:val="21"/>
          <w:szCs w:val="21"/>
        </w:rPr>
        <w:t>.</w:t>
      </w:r>
      <w:proofErr w:type="gramEnd"/>
      <w:r>
        <w:rPr>
          <w:sz w:val="21"/>
          <w:szCs w:val="21"/>
        </w:rPr>
        <w:t xml:space="preserve"> </w:t>
      </w:r>
      <w:proofErr w:type="spellStart"/>
      <w:proofErr w:type="gramStart"/>
      <w:r>
        <w:rPr>
          <w:sz w:val="21"/>
          <w:szCs w:val="21"/>
        </w:rPr>
        <w:t>N.p</w:t>
      </w:r>
      <w:proofErr w:type="spellEnd"/>
      <w:r>
        <w:rPr>
          <w:sz w:val="21"/>
          <w:szCs w:val="21"/>
        </w:rPr>
        <w:t xml:space="preserve">., </w:t>
      </w:r>
      <w:proofErr w:type="spellStart"/>
      <w:r>
        <w:rPr>
          <w:sz w:val="21"/>
          <w:szCs w:val="21"/>
        </w:rPr>
        <w:t>n.d.</w:t>
      </w:r>
      <w:proofErr w:type="spellEnd"/>
      <w:r>
        <w:rPr>
          <w:sz w:val="21"/>
          <w:szCs w:val="21"/>
        </w:rPr>
        <w:t xml:space="preserve"> Web.</w:t>
      </w:r>
      <w:proofErr w:type="gramEnd"/>
      <w:r>
        <w:rPr>
          <w:sz w:val="21"/>
          <w:szCs w:val="21"/>
        </w:rPr>
        <w:t xml:space="preserve"> 10 Oct. 2016. </w:t>
      </w:r>
    </w:p>
    <w:p w:rsidR="00CA1658" w:rsidRDefault="00CA1658">
      <w:pPr>
        <w:pStyle w:val="normal0"/>
        <w:ind w:left="660" w:hanging="440"/>
      </w:pPr>
    </w:p>
    <w:p w:rsidR="00CA1658" w:rsidRDefault="00833075">
      <w:pPr>
        <w:pStyle w:val="normal0"/>
      </w:pPr>
      <w:proofErr w:type="spellStart"/>
      <w:r>
        <w:rPr>
          <w:sz w:val="21"/>
          <w:szCs w:val="21"/>
        </w:rPr>
        <w:t>Jncs</w:t>
      </w:r>
      <w:proofErr w:type="spellEnd"/>
      <w:r>
        <w:rPr>
          <w:sz w:val="21"/>
          <w:szCs w:val="21"/>
        </w:rPr>
        <w:t xml:space="preserve">. "What Is </w:t>
      </w:r>
      <w:proofErr w:type="spellStart"/>
      <w:r>
        <w:rPr>
          <w:sz w:val="21"/>
          <w:szCs w:val="21"/>
        </w:rPr>
        <w:t>VMWare</w:t>
      </w:r>
      <w:proofErr w:type="spellEnd"/>
      <w:r>
        <w:rPr>
          <w:sz w:val="21"/>
          <w:szCs w:val="21"/>
        </w:rPr>
        <w:t xml:space="preserve">? VMware in Simple, Everyday Layman's Terms." </w:t>
      </w:r>
      <w:r>
        <w:rPr>
          <w:i/>
          <w:sz w:val="21"/>
          <w:szCs w:val="21"/>
        </w:rPr>
        <w:t>JNCS</w:t>
      </w:r>
      <w:r>
        <w:rPr>
          <w:sz w:val="21"/>
          <w:szCs w:val="21"/>
        </w:rPr>
        <w:t xml:space="preserve">. </w:t>
      </w:r>
      <w:proofErr w:type="spellStart"/>
      <w:proofErr w:type="gramStart"/>
      <w:r>
        <w:rPr>
          <w:sz w:val="21"/>
          <w:szCs w:val="21"/>
        </w:rPr>
        <w:t>N.p</w:t>
      </w:r>
      <w:proofErr w:type="spellEnd"/>
      <w:r>
        <w:rPr>
          <w:sz w:val="21"/>
          <w:szCs w:val="21"/>
        </w:rPr>
        <w:t xml:space="preserve">., </w:t>
      </w:r>
      <w:proofErr w:type="spellStart"/>
      <w:r>
        <w:rPr>
          <w:sz w:val="21"/>
          <w:szCs w:val="21"/>
        </w:rPr>
        <w:t>n.d.</w:t>
      </w:r>
      <w:proofErr w:type="spellEnd"/>
      <w:r>
        <w:rPr>
          <w:sz w:val="21"/>
          <w:szCs w:val="21"/>
        </w:rPr>
        <w:t xml:space="preserve"> Web.</w:t>
      </w:r>
      <w:proofErr w:type="gramEnd"/>
      <w:r>
        <w:rPr>
          <w:sz w:val="21"/>
          <w:szCs w:val="21"/>
        </w:rPr>
        <w:t xml:space="preserve"> 10 </w:t>
      </w:r>
      <w:proofErr w:type="spellStart"/>
      <w:r>
        <w:rPr>
          <w:color w:val="FFFFFF"/>
          <w:sz w:val="21"/>
          <w:szCs w:val="21"/>
        </w:rPr>
        <w:t>fffffffffff</w:t>
      </w:r>
      <w:r>
        <w:rPr>
          <w:sz w:val="21"/>
          <w:szCs w:val="21"/>
        </w:rPr>
        <w:t>Oct</w:t>
      </w:r>
      <w:proofErr w:type="spellEnd"/>
      <w:r>
        <w:rPr>
          <w:sz w:val="21"/>
          <w:szCs w:val="21"/>
        </w:rPr>
        <w:t>. 2016.</w:t>
      </w:r>
    </w:p>
    <w:p w:rsidR="00CA1658" w:rsidRDefault="00CA1658">
      <w:pPr>
        <w:pStyle w:val="normal0"/>
      </w:pPr>
    </w:p>
    <w:p w:rsidR="00CA1658" w:rsidRDefault="00CA1658">
      <w:pPr>
        <w:pStyle w:val="normal0"/>
      </w:pPr>
    </w:p>
    <w:sectPr w:rsidR="00CA16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A1658"/>
    <w:rsid w:val="00833075"/>
    <w:rsid w:val="00CA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2282</Characters>
  <Application>Microsoft Macintosh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Leeya</cp:lastModifiedBy>
  <cp:revision>2</cp:revision>
  <dcterms:created xsi:type="dcterms:W3CDTF">2016-12-09T05:09:00Z</dcterms:created>
  <dcterms:modified xsi:type="dcterms:W3CDTF">2016-12-09T05:09:00Z</dcterms:modified>
</cp:coreProperties>
</file>