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C27A" w14:textId="5B9C81BB" w:rsidR="00A74183" w:rsidRDefault="00A74183" w:rsidP="00EF56A8">
      <w:pPr>
        <w:spacing w:line="480" w:lineRule="auto"/>
      </w:pPr>
      <w:r>
        <w:t>Maaz Khan</w:t>
      </w:r>
    </w:p>
    <w:p w14:paraId="1E29CF82" w14:textId="6B8D6F90" w:rsidR="000C6E32" w:rsidRDefault="000C6E32" w:rsidP="00EF56A8">
      <w:pPr>
        <w:spacing w:line="480" w:lineRule="auto"/>
      </w:pPr>
      <w:r>
        <w:t>Enterprise IT</w:t>
      </w:r>
    </w:p>
    <w:p w14:paraId="2BFDDEE6" w14:textId="185DC648" w:rsidR="000C6E32" w:rsidRDefault="000C6E32" w:rsidP="00EF56A8">
      <w:pPr>
        <w:spacing w:line="480" w:lineRule="auto"/>
      </w:pPr>
      <w:r>
        <w:t>Professor Doyle</w:t>
      </w:r>
    </w:p>
    <w:p w14:paraId="608C8541" w14:textId="63724BC6" w:rsidR="000C6E32" w:rsidRDefault="000C6E32" w:rsidP="00EF56A8">
      <w:pPr>
        <w:spacing w:line="480" w:lineRule="auto"/>
      </w:pPr>
      <w:r>
        <w:t>Flash Research Paper 1</w:t>
      </w:r>
    </w:p>
    <w:p w14:paraId="1733405B" w14:textId="5040E0D5" w:rsidR="000C6E32" w:rsidRDefault="000C6E32" w:rsidP="00EF56A8">
      <w:pPr>
        <w:spacing w:line="480" w:lineRule="auto"/>
      </w:pPr>
      <w:r>
        <w:t>September 17, 2018</w:t>
      </w:r>
    </w:p>
    <w:p w14:paraId="63FE1B1A" w14:textId="05BA5440" w:rsidR="00D004A4" w:rsidRDefault="00D004A4" w:rsidP="00D004A4">
      <w:pPr>
        <w:spacing w:line="480" w:lineRule="auto"/>
        <w:jc w:val="center"/>
      </w:pPr>
      <w:r w:rsidRPr="00D004A4">
        <w:rPr>
          <w:b/>
        </w:rPr>
        <w:t xml:space="preserve">Flash Research Assignment: </w:t>
      </w:r>
      <w:r w:rsidRPr="00D004A4">
        <w:t>Data Centers and Networking</w:t>
      </w:r>
    </w:p>
    <w:p w14:paraId="3BF3AC18" w14:textId="55CA8865" w:rsidR="00BF57CE" w:rsidRDefault="003E5FD4" w:rsidP="00EF56A8">
      <w:pPr>
        <w:spacing w:line="480" w:lineRule="auto"/>
        <w:ind w:firstLine="720"/>
      </w:pPr>
      <w:r>
        <w:t xml:space="preserve">Switching from a Tier I to a Tier III data center would allow us to see a </w:t>
      </w:r>
      <w:r w:rsidR="0074747D">
        <w:t xml:space="preserve">three-year cost benefit of $13,229, 056. </w:t>
      </w:r>
      <w:r w:rsidR="0051660A">
        <w:t>Currently, our organization is at a major disadvantage with managing our data center downtime cost. We can build a Tier III data center</w:t>
      </w:r>
      <w:r w:rsidR="00BF57CE">
        <w:t xml:space="preserve"> allowing our data center to be </w:t>
      </w:r>
      <w:r w:rsidR="0051660A">
        <w:t>available 99.98 %</w:t>
      </w:r>
      <w:r w:rsidR="0074747D">
        <w:t xml:space="preserve"> of the time</w:t>
      </w:r>
      <w:r w:rsidR="00BF57CE">
        <w:t>, which would enable us to</w:t>
      </w:r>
      <w:r w:rsidR="0051660A">
        <w:t xml:space="preserve"> </w:t>
      </w:r>
      <w:r w:rsidR="00BF57CE">
        <w:t>better serve our clients</w:t>
      </w:r>
      <w:r w:rsidR="0074747D">
        <w:t xml:space="preserve">. </w:t>
      </w:r>
    </w:p>
    <w:p w14:paraId="46C818B8" w14:textId="3CF7CB6A" w:rsidR="00BF57CE" w:rsidRDefault="00BF57CE" w:rsidP="00EF56A8">
      <w:pPr>
        <w:spacing w:line="480" w:lineRule="auto"/>
        <w:ind w:firstLine="720"/>
      </w:pPr>
      <w:r>
        <w:t xml:space="preserve">The Tier III data centers are widely known for their uptime and redundancy measures. The difference in yearly </w:t>
      </w:r>
      <w:r w:rsidR="000C601D">
        <w:t>downtime cost</w:t>
      </w:r>
      <w:r>
        <w:t xml:space="preserve"> from Tier </w:t>
      </w:r>
      <w:r w:rsidR="0042287E">
        <w:t>I</w:t>
      </w:r>
      <w:r>
        <w:t xml:space="preserve"> to </w:t>
      </w:r>
      <w:r w:rsidR="0074747D">
        <w:t>T</w:t>
      </w:r>
      <w:r w:rsidR="000C601D">
        <w:t>ier</w:t>
      </w:r>
      <w:r>
        <w:t xml:space="preserve"> </w:t>
      </w:r>
      <w:r w:rsidR="0042287E">
        <w:t>III</w:t>
      </w:r>
      <w:r>
        <w:t xml:space="preserve"> is huge. With the implementation of the </w:t>
      </w:r>
      <w:r w:rsidR="0074747D">
        <w:t>T</w:t>
      </w:r>
      <w:r>
        <w:t xml:space="preserve">ier </w:t>
      </w:r>
      <w:r w:rsidR="0042287E">
        <w:t>III</w:t>
      </w:r>
      <w:r>
        <w:t xml:space="preserve"> we would face </w:t>
      </w:r>
      <w:r w:rsidR="000C601D">
        <w:t xml:space="preserve">downtime of only 105 minutes per year compared to 1734 minutes </w:t>
      </w:r>
      <w:r w:rsidR="0074747D">
        <w:t>per</w:t>
      </w:r>
      <w:r w:rsidR="000C601D">
        <w:t xml:space="preserve"> year with our current </w:t>
      </w:r>
      <w:r w:rsidR="0074747D">
        <w:t>T</w:t>
      </w:r>
      <w:r w:rsidR="000C601D">
        <w:t xml:space="preserve">ier </w:t>
      </w:r>
      <w:r w:rsidR="0042287E">
        <w:t>I</w:t>
      </w:r>
      <w:r w:rsidR="000C601D">
        <w:t xml:space="preserve"> data center. Investing in the </w:t>
      </w:r>
      <w:r w:rsidR="0074747D">
        <w:t>T</w:t>
      </w:r>
      <w:r w:rsidR="000C601D">
        <w:t xml:space="preserve">ier </w:t>
      </w:r>
      <w:r w:rsidR="0042287E">
        <w:t>III</w:t>
      </w:r>
      <w:r w:rsidR="000C601D">
        <w:t xml:space="preserve"> data center will help us take the right measures to reduce the risk of business interruption with no shutdowns required whether we are undergoing maintenance or replacing equipment. </w:t>
      </w:r>
      <w:r w:rsidR="0074747D">
        <w:t>In case of a power outage</w:t>
      </w:r>
      <w:r w:rsidR="000C601D">
        <w:t xml:space="preserve"> the </w:t>
      </w:r>
      <w:r w:rsidR="0074747D">
        <w:t>T</w:t>
      </w:r>
      <w:r w:rsidR="000C601D">
        <w:t xml:space="preserve">ier 3 data center would provide us with 72 hours of protection. </w:t>
      </w:r>
    </w:p>
    <w:p w14:paraId="2D04A702" w14:textId="6148D9A4" w:rsidR="00BF57CE" w:rsidRDefault="000C601D" w:rsidP="00EF56A8">
      <w:pPr>
        <w:spacing w:line="480" w:lineRule="auto"/>
        <w:ind w:firstLine="720"/>
      </w:pPr>
      <w:r>
        <w:t xml:space="preserve">The construction of the </w:t>
      </w:r>
      <w:r w:rsidR="0074747D">
        <w:t>T</w:t>
      </w:r>
      <w:r>
        <w:t xml:space="preserve">ier </w:t>
      </w:r>
      <w:r w:rsidR="0074747D">
        <w:t>III</w:t>
      </w:r>
      <w:r>
        <w:t xml:space="preserve"> data center will cost us $35,000,000 to implement. </w:t>
      </w:r>
      <w:r w:rsidR="0074747D">
        <w:t>However</w:t>
      </w:r>
      <w:r w:rsidR="00F115CF">
        <w:t xml:space="preserve">, investing in this data center will save us over </w:t>
      </w:r>
      <w:r w:rsidR="0042287E">
        <w:t>$</w:t>
      </w:r>
      <w:r w:rsidR="00E25B7B">
        <w:t>48</w:t>
      </w:r>
      <w:r w:rsidR="0042287E">
        <w:t>,</w:t>
      </w:r>
      <w:r w:rsidR="00E25B7B">
        <w:t>229</w:t>
      </w:r>
      <w:r w:rsidR="0042287E">
        <w:t>,0</w:t>
      </w:r>
      <w:r w:rsidR="00E25B7B">
        <w:t>56</w:t>
      </w:r>
      <w:r w:rsidR="0042287E">
        <w:t xml:space="preserve"> </w:t>
      </w:r>
      <w:r w:rsidR="00F115CF">
        <w:t>over the next three years. Also, we would create a cost benefit of $13,229,056 in the next three years</w:t>
      </w:r>
      <w:r w:rsidR="0042287E">
        <w:t xml:space="preserve"> which will positively impact our financial statements</w:t>
      </w:r>
      <w:r w:rsidR="00F115CF">
        <w:t xml:space="preserve">. </w:t>
      </w:r>
    </w:p>
    <w:p w14:paraId="403DDEDA" w14:textId="77777777" w:rsidR="00BF57CE" w:rsidRDefault="00BF57CE"/>
    <w:p w14:paraId="2EA0CB97" w14:textId="69AF344C" w:rsidR="00244203" w:rsidRDefault="00244203"/>
    <w:p w14:paraId="01763CA7" w14:textId="30017B81" w:rsidR="00244203" w:rsidRDefault="00244203"/>
    <w:p w14:paraId="43EBDD7B" w14:textId="4A9C7FF4" w:rsidR="00244203" w:rsidRDefault="00244203"/>
    <w:p w14:paraId="70E581B7" w14:textId="2FAE2DA9" w:rsidR="00244203" w:rsidRDefault="00244203"/>
    <w:p w14:paraId="481A80B0" w14:textId="3BC7C70A" w:rsidR="00244203" w:rsidRDefault="00244203"/>
    <w:p w14:paraId="7A2BA212" w14:textId="76F58BC4" w:rsidR="00244203" w:rsidRDefault="00244203"/>
    <w:p w14:paraId="44FFC887" w14:textId="23BCB34B" w:rsidR="00244203" w:rsidRDefault="00244203"/>
    <w:p w14:paraId="19370C54" w14:textId="06A4B152" w:rsidR="00244203" w:rsidRDefault="000C6E32" w:rsidP="000C6E32">
      <w:pPr>
        <w:spacing w:line="480" w:lineRule="auto"/>
      </w:pPr>
      <w:r>
        <w:t>References:</w:t>
      </w:r>
    </w:p>
    <w:p w14:paraId="4884456A" w14:textId="7690DDBA" w:rsidR="000C6E32" w:rsidRPr="000C6E32" w:rsidRDefault="000C6E32" w:rsidP="000C6E32">
      <w:pPr>
        <w:spacing w:line="480" w:lineRule="auto"/>
        <w:ind w:firstLine="720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Colocation American Staff. “Data Center Tier Rating Breakdown - Tier 1, 2, 3, 4 - CLA.” </w:t>
      </w:r>
      <w:r>
        <w:rPr>
          <w:rFonts w:ascii="&amp;quot" w:hAnsi="&amp;quot"/>
          <w:i/>
          <w:iCs/>
          <w:color w:val="333333"/>
          <w:sz w:val="20"/>
          <w:szCs w:val="20"/>
        </w:rPr>
        <w:t>Colocation America</w:t>
      </w:r>
      <w:r>
        <w:rPr>
          <w:rFonts w:ascii="Segoe UI" w:hAnsi="Segoe UI" w:cs="Segoe UI"/>
          <w:color w:val="333333"/>
          <w:sz w:val="20"/>
          <w:szCs w:val="20"/>
        </w:rPr>
        <w:t xml:space="preserve">, Colocation American Staff, 19 Apr. 2017, </w:t>
      </w:r>
      <w:hyperlink r:id="rId7" w:history="1">
        <w:r w:rsidRPr="007E0CD3">
          <w:rPr>
            <w:rStyle w:val="Hyperlink"/>
            <w:rFonts w:ascii="Segoe UI" w:hAnsi="Segoe UI" w:cs="Segoe UI"/>
            <w:sz w:val="20"/>
            <w:szCs w:val="20"/>
          </w:rPr>
          <w:t>www.colocationamerica.com/data-center/tier-standards-overview.htm</w:t>
        </w:r>
      </w:hyperlink>
      <w:r>
        <w:rPr>
          <w:rFonts w:ascii="Segoe UI" w:hAnsi="Segoe UI" w:cs="Segoe UI"/>
          <w:color w:val="333333"/>
          <w:sz w:val="20"/>
          <w:szCs w:val="20"/>
        </w:rPr>
        <w:t>.</w:t>
      </w:r>
    </w:p>
    <w:p w14:paraId="60B2162B" w14:textId="63C7FAD2" w:rsidR="000C6E32" w:rsidRDefault="000C6E32" w:rsidP="000C6E32">
      <w:pPr>
        <w:spacing w:line="480" w:lineRule="auto"/>
        <w:ind w:firstLine="720"/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Stansberry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Matt. “Explaining the Uptime Institute's Tier Classification System.” </w:t>
      </w:r>
      <w:r>
        <w:rPr>
          <w:rFonts w:ascii="&amp;quot" w:hAnsi="&amp;quot"/>
          <w:i/>
          <w:iCs/>
          <w:color w:val="333333"/>
          <w:sz w:val="20"/>
          <w:szCs w:val="20"/>
        </w:rPr>
        <w:t>Uptime Institute Blog</w:t>
      </w:r>
      <w:r>
        <w:rPr>
          <w:rFonts w:ascii="Segoe UI" w:hAnsi="Segoe UI" w:cs="Segoe UI"/>
          <w:color w:val="333333"/>
          <w:sz w:val="20"/>
          <w:szCs w:val="20"/>
        </w:rPr>
        <w:t xml:space="preserve">, Kevin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Heslin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Https://Journal.uptimeinstitute.com/Wp-Content/Uploads/2017/11/UI_logo_blue_240x88.Png, 30 Sept. 2014, journal.uptimeinstitute.com/explaining-uptime-institutes-tier-classification-system/.</w:t>
      </w:r>
    </w:p>
    <w:p w14:paraId="7AF7C5A9" w14:textId="61F8F168" w:rsidR="000C6E32" w:rsidRDefault="000C6E32" w:rsidP="000C6E32">
      <w:pPr>
        <w:spacing w:line="480" w:lineRule="auto"/>
        <w:ind w:firstLine="720"/>
      </w:pPr>
      <w:r>
        <w:rPr>
          <w:rFonts w:ascii="Segoe UI" w:hAnsi="Segoe UI" w:cs="Segoe UI"/>
          <w:color w:val="333333"/>
          <w:sz w:val="20"/>
          <w:szCs w:val="20"/>
        </w:rPr>
        <w:t xml:space="preserve">“Tier III vs Tier IV Data Center – What's the Difference?” </w:t>
      </w:r>
      <w:r>
        <w:rPr>
          <w:rFonts w:ascii="&amp;quot" w:hAnsi="&amp;quot"/>
          <w:i/>
          <w:iCs/>
          <w:color w:val="333333"/>
          <w:sz w:val="20"/>
          <w:szCs w:val="20"/>
        </w:rPr>
        <w:t>Datacenters.com: Data Center Power Costs and Requirements</w:t>
      </w:r>
      <w:r>
        <w:rPr>
          <w:rFonts w:ascii="Segoe UI" w:hAnsi="Segoe UI" w:cs="Segoe UI"/>
          <w:color w:val="333333"/>
          <w:sz w:val="20"/>
          <w:szCs w:val="20"/>
        </w:rPr>
        <w:t>, www.datacenters.com/news/tier-iii-vs-tier-iv-data-center-whats-the-difference.</w:t>
      </w:r>
    </w:p>
    <w:p w14:paraId="53A49DC7" w14:textId="4A8D2A78" w:rsidR="00F115CF" w:rsidRDefault="006B19EB">
      <w:bookmarkStart w:id="0" w:name="_GoBack"/>
      <w:r w:rsidRPr="0051660A">
        <w:rPr>
          <w:noProof/>
        </w:rPr>
        <w:drawing>
          <wp:anchor distT="0" distB="0" distL="114300" distR="114300" simplePos="0" relativeHeight="251658240" behindDoc="0" locked="0" layoutInCell="1" allowOverlap="1" wp14:anchorId="7C19C796" wp14:editId="24A30AC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829175" cy="39287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FF472A9" w14:textId="0E14AF13" w:rsidR="00244203" w:rsidRDefault="00244203"/>
    <w:sectPr w:rsidR="0024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876B" w14:textId="77777777" w:rsidR="00D907F2" w:rsidRDefault="00D907F2" w:rsidP="00A74183">
      <w:r>
        <w:separator/>
      </w:r>
    </w:p>
  </w:endnote>
  <w:endnote w:type="continuationSeparator" w:id="0">
    <w:p w14:paraId="60F48A11" w14:textId="77777777" w:rsidR="00D907F2" w:rsidRDefault="00D907F2" w:rsidP="00A7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5893" w14:textId="77777777" w:rsidR="00D907F2" w:rsidRDefault="00D907F2" w:rsidP="00A74183">
      <w:r>
        <w:separator/>
      </w:r>
    </w:p>
  </w:footnote>
  <w:footnote w:type="continuationSeparator" w:id="0">
    <w:p w14:paraId="028C580F" w14:textId="77777777" w:rsidR="00D907F2" w:rsidRDefault="00D907F2" w:rsidP="00A7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65"/>
    <w:rsid w:val="000C601D"/>
    <w:rsid w:val="000C6E32"/>
    <w:rsid w:val="0019574B"/>
    <w:rsid w:val="001C68EF"/>
    <w:rsid w:val="00244203"/>
    <w:rsid w:val="00253046"/>
    <w:rsid w:val="003E5FD4"/>
    <w:rsid w:val="0042287E"/>
    <w:rsid w:val="004B6465"/>
    <w:rsid w:val="0051660A"/>
    <w:rsid w:val="006A70CD"/>
    <w:rsid w:val="006B19EB"/>
    <w:rsid w:val="0074747D"/>
    <w:rsid w:val="008325D2"/>
    <w:rsid w:val="008535ED"/>
    <w:rsid w:val="00897AAA"/>
    <w:rsid w:val="009548B9"/>
    <w:rsid w:val="009918BE"/>
    <w:rsid w:val="009B3AEB"/>
    <w:rsid w:val="00A74183"/>
    <w:rsid w:val="00B220F0"/>
    <w:rsid w:val="00BF57CE"/>
    <w:rsid w:val="00C57CC8"/>
    <w:rsid w:val="00D004A4"/>
    <w:rsid w:val="00D907F2"/>
    <w:rsid w:val="00E25B7B"/>
    <w:rsid w:val="00E9653B"/>
    <w:rsid w:val="00EF56A8"/>
    <w:rsid w:val="00F01417"/>
    <w:rsid w:val="00F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D4243"/>
  <w15:chartTrackingRefBased/>
  <w15:docId w15:val="{B5912632-C0F9-4F3E-BC15-9806659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4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83"/>
  </w:style>
  <w:style w:type="paragraph" w:styleId="Footer">
    <w:name w:val="footer"/>
    <w:basedOn w:val="Normal"/>
    <w:link w:val="FooterChar"/>
    <w:uiPriority w:val="99"/>
    <w:unhideWhenUsed/>
    <w:rsid w:val="00A7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83"/>
  </w:style>
  <w:style w:type="character" w:styleId="Hyperlink">
    <w:name w:val="Hyperlink"/>
    <w:basedOn w:val="DefaultParagraphFont"/>
    <w:uiPriority w:val="99"/>
    <w:unhideWhenUsed/>
    <w:rsid w:val="000C6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olocationamerica.com/data-center/tier-standards-overvie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Khan</dc:creator>
  <cp:keywords/>
  <dc:description/>
  <cp:lastModifiedBy>Maaz Khan</cp:lastModifiedBy>
  <cp:revision>12</cp:revision>
  <cp:lastPrinted>2018-09-13T19:43:00Z</cp:lastPrinted>
  <dcterms:created xsi:type="dcterms:W3CDTF">2018-09-11T20:03:00Z</dcterms:created>
  <dcterms:modified xsi:type="dcterms:W3CDTF">2018-11-06T04:06:00Z</dcterms:modified>
</cp:coreProperties>
</file>