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6794" w:rsidRDefault="00CC24F8" w:rsidP="00CC24F8">
      <w:pPr>
        <w:pStyle w:val="normal0"/>
        <w:spacing w:line="480" w:lineRule="auto"/>
        <w:jc w:val="center"/>
      </w:pPr>
      <w:r>
        <w:t>Flash Research Paper #2</w:t>
      </w:r>
    </w:p>
    <w:p w:rsidR="00F76794" w:rsidRDefault="00CC24F8" w:rsidP="00CC24F8">
      <w:pPr>
        <w:pStyle w:val="normal0"/>
        <w:spacing w:line="480" w:lineRule="auto"/>
        <w:ind w:firstLine="720"/>
      </w:pPr>
      <w:r>
        <w:t xml:space="preserve">We need to commit to virtualization software in order to consolidate our data servers. By using virtualization software such as VMware, we can reduce 72% of our data center machines, and by doing </w:t>
      </w:r>
      <w:proofErr w:type="gramStart"/>
      <w:r>
        <w:t>so,</w:t>
      </w:r>
      <w:proofErr w:type="gramEnd"/>
      <w:r>
        <w:t xml:space="preserve"> we can save $2,800,000 over the next three years.</w:t>
      </w:r>
    </w:p>
    <w:p w:rsidR="00F76794" w:rsidRDefault="00CC24F8" w:rsidP="00CC24F8">
      <w:pPr>
        <w:pStyle w:val="normal0"/>
        <w:spacing w:line="480" w:lineRule="auto"/>
        <w:ind w:firstLine="720"/>
      </w:pPr>
      <w:r>
        <w:t>10 computer servers will be run on a single machine instead of a single machine dedicated to a single server. This traditional use of servers has a very low utilization rate for its machines, and is not space-conscious; we expect utilization to increase by</w:t>
      </w:r>
      <w:r>
        <w:t xml:space="preserve"> 50-80% per machine by using virtualization. This creates an economy of scale in the sense that it would be much cheaper and easier to add more servers in the future if needed to. Virtualization software also allows for better manageability of systems and </w:t>
      </w:r>
      <w:r>
        <w:t>deconstructing of data silos, which are, since data is much more easily backed up. We expect cost of maintenance and support for each machine to, but the consolidation of so many machines will heavily drop our total costs.</w:t>
      </w:r>
    </w:p>
    <w:p w:rsidR="00F76794" w:rsidRDefault="00CC24F8" w:rsidP="00CC24F8">
      <w:pPr>
        <w:pStyle w:val="normal0"/>
        <w:spacing w:line="480" w:lineRule="auto"/>
        <w:ind w:firstLine="720"/>
      </w:pPr>
      <w:r>
        <w:t xml:space="preserve">By consolidating 80% of our 1000 </w:t>
      </w:r>
      <w:r>
        <w:t>physical servers into virtual machine servers, which along with cost savings also provides technical benefits of maximized utilization by running 10 servers on one machine, we can save a net total of $2,800,000 over 3 years.</w:t>
      </w: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bookmarkStart w:id="0" w:name="_GoBack"/>
      <w:bookmarkEnd w:id="0"/>
    </w:p>
    <w:tbl>
      <w:tblPr>
        <w:tblStyle w:val="a"/>
        <w:tblpPr w:leftFromText="180" w:rightFromText="180" w:vertAnchor="page" w:horzAnchor="page" w:tblpX="476" w:tblpY="6481"/>
        <w:tblW w:w="11535" w:type="dxa"/>
        <w:tblLayout w:type="fixed"/>
        <w:tblLook w:val="0400" w:firstRow="0" w:lastRow="0" w:firstColumn="0" w:lastColumn="0" w:noHBand="0" w:noVBand="1"/>
      </w:tblPr>
      <w:tblGrid>
        <w:gridCol w:w="675"/>
        <w:gridCol w:w="855"/>
        <w:gridCol w:w="615"/>
        <w:gridCol w:w="1035"/>
        <w:gridCol w:w="1005"/>
        <w:gridCol w:w="1215"/>
        <w:gridCol w:w="1275"/>
        <w:gridCol w:w="1215"/>
        <w:gridCol w:w="1215"/>
        <w:gridCol w:w="1215"/>
        <w:gridCol w:w="1215"/>
      </w:tblGrid>
      <w:tr w:rsidR="00CC24F8" w:rsidTr="00CC24F8">
        <w:trPr>
          <w:trHeight w:val="220"/>
        </w:trPr>
        <w:tc>
          <w:tcPr>
            <w:tcW w:w="11535" w:type="dxa"/>
            <w:gridSpan w:val="11"/>
            <w:tcBorders>
              <w:top w:val="nil"/>
              <w:left w:val="nil"/>
              <w:bottom w:val="single" w:sz="12" w:space="0" w:color="ACCCEA"/>
              <w:right w:val="nil"/>
            </w:tcBorders>
            <w:vAlign w:val="center"/>
          </w:tcPr>
          <w:p w:rsidR="00CC24F8" w:rsidRDefault="00CC24F8" w:rsidP="00CC24F8">
            <w:pPr>
              <w:pStyle w:val="normal0"/>
              <w:jc w:val="center"/>
            </w:pPr>
            <w:r>
              <w:rPr>
                <w:b/>
                <w:color w:val="44546A"/>
                <w:sz w:val="26"/>
                <w:szCs w:val="26"/>
              </w:rPr>
              <w:lastRenderedPageBreak/>
              <w:t>Cost of Virtualization</w:t>
            </w:r>
          </w:p>
        </w:tc>
      </w:tr>
      <w:tr w:rsidR="00CC24F8" w:rsidTr="00CC24F8">
        <w:trPr>
          <w:trHeight w:val="360"/>
        </w:trPr>
        <w:tc>
          <w:tcPr>
            <w:tcW w:w="675" w:type="dxa"/>
            <w:tcBorders>
              <w:top w:val="nil"/>
              <w:left w:val="nil"/>
              <w:bottom w:val="nil"/>
              <w:right w:val="nil"/>
            </w:tcBorders>
            <w:shd w:val="clear" w:color="auto" w:fill="F2F2F2"/>
            <w:vAlign w:val="bottom"/>
          </w:tcPr>
          <w:p w:rsidR="00CC24F8" w:rsidRDefault="00CC24F8" w:rsidP="00CC24F8">
            <w:pPr>
              <w:pStyle w:val="normal0"/>
            </w:pPr>
            <w:r>
              <w:t> </w:t>
            </w:r>
          </w:p>
        </w:tc>
        <w:tc>
          <w:tcPr>
            <w:tcW w:w="855" w:type="dxa"/>
            <w:tcBorders>
              <w:top w:val="nil"/>
              <w:left w:val="nil"/>
              <w:bottom w:val="nil"/>
              <w:right w:val="nil"/>
            </w:tcBorders>
            <w:shd w:val="clear" w:color="auto" w:fill="F2F2F2"/>
            <w:vAlign w:val="bottom"/>
          </w:tcPr>
          <w:p w:rsidR="00CC24F8" w:rsidRDefault="00CC24F8" w:rsidP="00CC24F8">
            <w:pPr>
              <w:pStyle w:val="normal0"/>
              <w:jc w:val="center"/>
            </w:pPr>
            <w:r>
              <w:t xml:space="preserve"># </w:t>
            </w:r>
            <w:proofErr w:type="gramStart"/>
            <w:r>
              <w:t>of</w:t>
            </w:r>
            <w:proofErr w:type="gramEnd"/>
            <w:r>
              <w:t xml:space="preserve"> servers </w:t>
            </w:r>
          </w:p>
        </w:tc>
        <w:tc>
          <w:tcPr>
            <w:tcW w:w="615" w:type="dxa"/>
            <w:tcBorders>
              <w:top w:val="nil"/>
              <w:left w:val="nil"/>
              <w:bottom w:val="nil"/>
              <w:right w:val="nil"/>
            </w:tcBorders>
            <w:shd w:val="clear" w:color="auto" w:fill="F2F2F2"/>
            <w:vAlign w:val="bottom"/>
          </w:tcPr>
          <w:p w:rsidR="00CC24F8" w:rsidRDefault="00CC24F8" w:rsidP="00CC24F8">
            <w:pPr>
              <w:pStyle w:val="normal0"/>
              <w:jc w:val="center"/>
            </w:pPr>
            <w:r>
              <w:t xml:space="preserve"># </w:t>
            </w:r>
            <w:proofErr w:type="gramStart"/>
            <w:r>
              <w:t>of</w:t>
            </w:r>
            <w:proofErr w:type="gramEnd"/>
            <w:r>
              <w:t xml:space="preserve"> VMs</w:t>
            </w:r>
          </w:p>
        </w:tc>
        <w:tc>
          <w:tcPr>
            <w:tcW w:w="1035" w:type="dxa"/>
            <w:tcBorders>
              <w:top w:val="nil"/>
              <w:left w:val="nil"/>
              <w:bottom w:val="nil"/>
              <w:right w:val="nil"/>
            </w:tcBorders>
            <w:shd w:val="clear" w:color="auto" w:fill="F2F2F2"/>
            <w:vAlign w:val="bottom"/>
          </w:tcPr>
          <w:p w:rsidR="00CC24F8" w:rsidRDefault="00CC24F8" w:rsidP="00CC24F8">
            <w:pPr>
              <w:pStyle w:val="normal0"/>
              <w:jc w:val="center"/>
            </w:pPr>
            <w:r>
              <w:t>Cost to purchase</w:t>
            </w:r>
          </w:p>
        </w:tc>
        <w:tc>
          <w:tcPr>
            <w:tcW w:w="1005" w:type="dxa"/>
            <w:tcBorders>
              <w:top w:val="nil"/>
              <w:left w:val="nil"/>
              <w:bottom w:val="nil"/>
              <w:right w:val="nil"/>
            </w:tcBorders>
            <w:shd w:val="clear" w:color="auto" w:fill="F2F2F2"/>
            <w:vAlign w:val="bottom"/>
          </w:tcPr>
          <w:p w:rsidR="00CC24F8" w:rsidRDefault="00CC24F8" w:rsidP="00CC24F8">
            <w:pPr>
              <w:pStyle w:val="normal0"/>
              <w:jc w:val="center"/>
            </w:pPr>
            <w:r>
              <w:t>Cost to maintain</w:t>
            </w:r>
          </w:p>
        </w:tc>
        <w:tc>
          <w:tcPr>
            <w:tcW w:w="1215" w:type="dxa"/>
            <w:tcBorders>
              <w:top w:val="nil"/>
              <w:left w:val="nil"/>
              <w:bottom w:val="nil"/>
              <w:right w:val="nil"/>
            </w:tcBorders>
            <w:shd w:val="clear" w:color="auto" w:fill="F2F2F2"/>
            <w:vAlign w:val="bottom"/>
          </w:tcPr>
          <w:p w:rsidR="00CC24F8" w:rsidRDefault="00CC24F8" w:rsidP="00CC24F8">
            <w:pPr>
              <w:pStyle w:val="normal0"/>
              <w:jc w:val="center"/>
            </w:pPr>
            <w:r>
              <w:t>Total cost of purchase</w:t>
            </w:r>
          </w:p>
        </w:tc>
        <w:tc>
          <w:tcPr>
            <w:tcW w:w="1275" w:type="dxa"/>
            <w:tcBorders>
              <w:top w:val="nil"/>
              <w:left w:val="nil"/>
              <w:bottom w:val="nil"/>
              <w:right w:val="nil"/>
            </w:tcBorders>
            <w:shd w:val="clear" w:color="auto" w:fill="F2F2F2"/>
            <w:vAlign w:val="bottom"/>
          </w:tcPr>
          <w:p w:rsidR="00CC24F8" w:rsidRDefault="00CC24F8" w:rsidP="00CC24F8">
            <w:pPr>
              <w:pStyle w:val="normal0"/>
              <w:jc w:val="center"/>
            </w:pPr>
            <w:r>
              <w:t>Total cost of maintaining</w:t>
            </w:r>
          </w:p>
        </w:tc>
        <w:tc>
          <w:tcPr>
            <w:tcW w:w="1215" w:type="dxa"/>
            <w:tcBorders>
              <w:top w:val="nil"/>
              <w:left w:val="nil"/>
              <w:bottom w:val="nil"/>
              <w:right w:val="nil"/>
            </w:tcBorders>
            <w:shd w:val="clear" w:color="auto" w:fill="F2F2F2"/>
            <w:vAlign w:val="bottom"/>
          </w:tcPr>
          <w:p w:rsidR="00CC24F8" w:rsidRDefault="00CC24F8" w:rsidP="00CC24F8">
            <w:pPr>
              <w:pStyle w:val="normal0"/>
              <w:jc w:val="center"/>
            </w:pPr>
            <w:r>
              <w:t>Total Costs Year 1</w:t>
            </w:r>
          </w:p>
        </w:tc>
        <w:tc>
          <w:tcPr>
            <w:tcW w:w="1215" w:type="dxa"/>
            <w:tcBorders>
              <w:top w:val="nil"/>
              <w:left w:val="nil"/>
              <w:bottom w:val="nil"/>
              <w:right w:val="nil"/>
            </w:tcBorders>
            <w:shd w:val="clear" w:color="auto" w:fill="F2F2F2"/>
            <w:vAlign w:val="bottom"/>
          </w:tcPr>
          <w:p w:rsidR="00CC24F8" w:rsidRDefault="00CC24F8" w:rsidP="00CC24F8">
            <w:pPr>
              <w:pStyle w:val="normal0"/>
              <w:jc w:val="center"/>
            </w:pPr>
            <w:r>
              <w:t>Year 2</w:t>
            </w:r>
          </w:p>
        </w:tc>
        <w:tc>
          <w:tcPr>
            <w:tcW w:w="1215" w:type="dxa"/>
            <w:tcBorders>
              <w:top w:val="nil"/>
              <w:left w:val="nil"/>
              <w:bottom w:val="nil"/>
              <w:right w:val="nil"/>
            </w:tcBorders>
            <w:shd w:val="clear" w:color="auto" w:fill="F2F2F2"/>
            <w:vAlign w:val="bottom"/>
          </w:tcPr>
          <w:p w:rsidR="00CC24F8" w:rsidRDefault="00CC24F8" w:rsidP="00CC24F8">
            <w:pPr>
              <w:pStyle w:val="normal0"/>
              <w:jc w:val="center"/>
            </w:pPr>
            <w:r>
              <w:t>Year 3</w:t>
            </w:r>
          </w:p>
        </w:tc>
        <w:tc>
          <w:tcPr>
            <w:tcW w:w="1215" w:type="dxa"/>
            <w:tcBorders>
              <w:top w:val="nil"/>
              <w:left w:val="nil"/>
              <w:bottom w:val="nil"/>
              <w:right w:val="nil"/>
            </w:tcBorders>
            <w:shd w:val="clear" w:color="auto" w:fill="F2F2F2"/>
            <w:vAlign w:val="bottom"/>
          </w:tcPr>
          <w:p w:rsidR="00CC24F8" w:rsidRDefault="00CC24F8" w:rsidP="00CC24F8">
            <w:pPr>
              <w:pStyle w:val="normal0"/>
              <w:jc w:val="center"/>
            </w:pPr>
            <w:r>
              <w:t>Net cost</w:t>
            </w:r>
          </w:p>
        </w:tc>
      </w:tr>
      <w:tr w:rsidR="00CC24F8" w:rsidTr="00CC24F8">
        <w:trPr>
          <w:trHeight w:val="180"/>
        </w:trPr>
        <w:tc>
          <w:tcPr>
            <w:tcW w:w="675" w:type="dxa"/>
            <w:tcBorders>
              <w:top w:val="single" w:sz="4" w:space="0" w:color="000000"/>
              <w:left w:val="single" w:sz="4" w:space="0" w:color="000000"/>
              <w:bottom w:val="single" w:sz="4" w:space="0" w:color="000000"/>
              <w:right w:val="nil"/>
            </w:tcBorders>
            <w:shd w:val="clear" w:color="auto" w:fill="9BC2E6"/>
            <w:vAlign w:val="bottom"/>
          </w:tcPr>
          <w:p w:rsidR="00CC24F8" w:rsidRDefault="00CC24F8" w:rsidP="00CC24F8">
            <w:pPr>
              <w:pStyle w:val="normal0"/>
            </w:pPr>
            <w:r>
              <w:t>Current</w:t>
            </w:r>
          </w:p>
        </w:tc>
        <w:tc>
          <w:tcPr>
            <w:tcW w:w="85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t>1,000</w:t>
            </w:r>
          </w:p>
        </w:tc>
        <w:tc>
          <w:tcPr>
            <w:tcW w:w="61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t>0</w:t>
            </w:r>
          </w:p>
        </w:tc>
        <w:tc>
          <w:tcPr>
            <w:tcW w:w="103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t xml:space="preserve">$8,000 </w:t>
            </w:r>
          </w:p>
        </w:tc>
        <w:tc>
          <w:tcPr>
            <w:tcW w:w="100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t xml:space="preserve">$2,000 </w:t>
            </w:r>
          </w:p>
        </w:tc>
        <w:tc>
          <w:tcPr>
            <w:tcW w:w="121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t xml:space="preserve">$0 </w:t>
            </w:r>
          </w:p>
        </w:tc>
        <w:tc>
          <w:tcPr>
            <w:tcW w:w="127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t xml:space="preserve">$2,000,000 </w:t>
            </w:r>
          </w:p>
        </w:tc>
        <w:tc>
          <w:tcPr>
            <w:tcW w:w="121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rPr>
                <w:color w:val="FF0000"/>
              </w:rPr>
              <w:t xml:space="preserve">$2,000,000 </w:t>
            </w:r>
          </w:p>
        </w:tc>
        <w:tc>
          <w:tcPr>
            <w:tcW w:w="121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rPr>
                <w:color w:val="FF0000"/>
              </w:rPr>
              <w:t xml:space="preserve">$2,000,000 </w:t>
            </w:r>
          </w:p>
        </w:tc>
        <w:tc>
          <w:tcPr>
            <w:tcW w:w="1215" w:type="dxa"/>
            <w:tcBorders>
              <w:top w:val="single" w:sz="4" w:space="0" w:color="000000"/>
              <w:left w:val="nil"/>
              <w:bottom w:val="single" w:sz="4" w:space="0" w:color="000000"/>
              <w:right w:val="nil"/>
            </w:tcBorders>
            <w:shd w:val="clear" w:color="auto" w:fill="BDD7EE"/>
            <w:vAlign w:val="bottom"/>
          </w:tcPr>
          <w:p w:rsidR="00CC24F8" w:rsidRDefault="00CC24F8" w:rsidP="00CC24F8">
            <w:pPr>
              <w:pStyle w:val="normal0"/>
              <w:jc w:val="right"/>
            </w:pPr>
            <w:r>
              <w:rPr>
                <w:color w:val="FF0000"/>
              </w:rPr>
              <w:t xml:space="preserve">$2,000,000 </w:t>
            </w:r>
          </w:p>
        </w:tc>
        <w:tc>
          <w:tcPr>
            <w:tcW w:w="1215" w:type="dxa"/>
            <w:tcBorders>
              <w:top w:val="single" w:sz="4" w:space="0" w:color="000000"/>
              <w:left w:val="nil"/>
              <w:bottom w:val="single" w:sz="4" w:space="0" w:color="000000"/>
              <w:right w:val="single" w:sz="4" w:space="0" w:color="000000"/>
            </w:tcBorders>
            <w:shd w:val="clear" w:color="auto" w:fill="BDD7EE"/>
            <w:vAlign w:val="bottom"/>
          </w:tcPr>
          <w:p w:rsidR="00CC24F8" w:rsidRDefault="00CC24F8" w:rsidP="00CC24F8">
            <w:pPr>
              <w:pStyle w:val="normal0"/>
              <w:jc w:val="right"/>
            </w:pPr>
            <w:r>
              <w:rPr>
                <w:color w:val="FF0000"/>
              </w:rPr>
              <w:t xml:space="preserve">$6,000,000 </w:t>
            </w:r>
          </w:p>
        </w:tc>
      </w:tr>
      <w:tr w:rsidR="00CC24F8" w:rsidTr="00CC24F8">
        <w:trPr>
          <w:trHeight w:val="728"/>
        </w:trPr>
        <w:tc>
          <w:tcPr>
            <w:tcW w:w="675" w:type="dxa"/>
            <w:tcBorders>
              <w:top w:val="nil"/>
              <w:left w:val="single" w:sz="4" w:space="0" w:color="000000"/>
              <w:bottom w:val="single" w:sz="4" w:space="0" w:color="000000"/>
              <w:right w:val="nil"/>
            </w:tcBorders>
            <w:shd w:val="clear" w:color="auto" w:fill="FFC000"/>
            <w:vAlign w:val="bottom"/>
          </w:tcPr>
          <w:p w:rsidR="00CC24F8" w:rsidRDefault="00CC24F8" w:rsidP="00CC24F8">
            <w:pPr>
              <w:pStyle w:val="normal0"/>
            </w:pPr>
            <w:r>
              <w:t>Proposed</w:t>
            </w:r>
          </w:p>
        </w:tc>
        <w:tc>
          <w:tcPr>
            <w:tcW w:w="85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t>280</w:t>
            </w:r>
          </w:p>
        </w:tc>
        <w:tc>
          <w:tcPr>
            <w:tcW w:w="61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t>80</w:t>
            </w:r>
          </w:p>
        </w:tc>
        <w:tc>
          <w:tcPr>
            <w:tcW w:w="103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t xml:space="preserve">$16,000 </w:t>
            </w:r>
          </w:p>
        </w:tc>
        <w:tc>
          <w:tcPr>
            <w:tcW w:w="100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t xml:space="preserve">$3,000 </w:t>
            </w:r>
          </w:p>
        </w:tc>
        <w:tc>
          <w:tcPr>
            <w:tcW w:w="121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t xml:space="preserve">$1,280,000 </w:t>
            </w:r>
          </w:p>
        </w:tc>
        <w:tc>
          <w:tcPr>
            <w:tcW w:w="127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t xml:space="preserve">$640,000 </w:t>
            </w:r>
          </w:p>
        </w:tc>
        <w:tc>
          <w:tcPr>
            <w:tcW w:w="121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rPr>
                <w:color w:val="FF0000"/>
              </w:rPr>
              <w:t xml:space="preserve">$1,920,000 </w:t>
            </w:r>
          </w:p>
        </w:tc>
        <w:tc>
          <w:tcPr>
            <w:tcW w:w="121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rPr>
                <w:color w:val="FF0000"/>
              </w:rPr>
              <w:t xml:space="preserve">$640,000 </w:t>
            </w:r>
          </w:p>
        </w:tc>
        <w:tc>
          <w:tcPr>
            <w:tcW w:w="1215" w:type="dxa"/>
            <w:tcBorders>
              <w:top w:val="nil"/>
              <w:left w:val="nil"/>
              <w:bottom w:val="single" w:sz="4" w:space="0" w:color="000000"/>
              <w:right w:val="nil"/>
            </w:tcBorders>
            <w:shd w:val="clear" w:color="auto" w:fill="FFFF00"/>
            <w:vAlign w:val="bottom"/>
          </w:tcPr>
          <w:p w:rsidR="00CC24F8" w:rsidRDefault="00CC24F8" w:rsidP="00CC24F8">
            <w:pPr>
              <w:pStyle w:val="normal0"/>
              <w:jc w:val="right"/>
            </w:pPr>
            <w:r>
              <w:rPr>
                <w:color w:val="FF0000"/>
              </w:rPr>
              <w:t xml:space="preserve">$640,000 </w:t>
            </w:r>
          </w:p>
        </w:tc>
        <w:tc>
          <w:tcPr>
            <w:tcW w:w="1215" w:type="dxa"/>
            <w:tcBorders>
              <w:top w:val="nil"/>
              <w:left w:val="nil"/>
              <w:bottom w:val="single" w:sz="4" w:space="0" w:color="000000"/>
              <w:right w:val="single" w:sz="4" w:space="0" w:color="000000"/>
            </w:tcBorders>
            <w:shd w:val="clear" w:color="auto" w:fill="FFFF00"/>
            <w:vAlign w:val="bottom"/>
          </w:tcPr>
          <w:p w:rsidR="00CC24F8" w:rsidRDefault="00CC24F8" w:rsidP="00CC24F8">
            <w:pPr>
              <w:pStyle w:val="normal0"/>
              <w:jc w:val="right"/>
            </w:pPr>
            <w:r>
              <w:rPr>
                <w:color w:val="FF0000"/>
              </w:rPr>
              <w:t xml:space="preserve">$3,200,000 </w:t>
            </w:r>
          </w:p>
        </w:tc>
      </w:tr>
      <w:tr w:rsidR="00CC24F8" w:rsidTr="00CC24F8">
        <w:trPr>
          <w:trHeight w:val="180"/>
        </w:trPr>
        <w:tc>
          <w:tcPr>
            <w:tcW w:w="675" w:type="dxa"/>
            <w:tcBorders>
              <w:top w:val="nil"/>
              <w:left w:val="nil"/>
              <w:bottom w:val="nil"/>
              <w:right w:val="nil"/>
            </w:tcBorders>
            <w:vAlign w:val="bottom"/>
          </w:tcPr>
          <w:p w:rsidR="00CC24F8" w:rsidRDefault="00CC24F8" w:rsidP="00CC24F8">
            <w:pPr>
              <w:pStyle w:val="normal0"/>
              <w:jc w:val="right"/>
            </w:pPr>
          </w:p>
        </w:tc>
        <w:tc>
          <w:tcPr>
            <w:tcW w:w="855" w:type="dxa"/>
            <w:tcBorders>
              <w:top w:val="nil"/>
              <w:left w:val="nil"/>
              <w:bottom w:val="nil"/>
              <w:right w:val="nil"/>
            </w:tcBorders>
            <w:vAlign w:val="bottom"/>
          </w:tcPr>
          <w:p w:rsidR="00CC24F8" w:rsidRDefault="00CC24F8" w:rsidP="00CC24F8">
            <w:pPr>
              <w:pStyle w:val="normal0"/>
            </w:pPr>
          </w:p>
        </w:tc>
        <w:tc>
          <w:tcPr>
            <w:tcW w:w="615" w:type="dxa"/>
            <w:tcBorders>
              <w:top w:val="nil"/>
              <w:left w:val="nil"/>
              <w:bottom w:val="nil"/>
              <w:right w:val="nil"/>
            </w:tcBorders>
            <w:vAlign w:val="bottom"/>
          </w:tcPr>
          <w:p w:rsidR="00CC24F8" w:rsidRDefault="00CC24F8" w:rsidP="00CC24F8">
            <w:pPr>
              <w:pStyle w:val="normal0"/>
            </w:pPr>
          </w:p>
        </w:tc>
        <w:tc>
          <w:tcPr>
            <w:tcW w:w="1035" w:type="dxa"/>
            <w:tcBorders>
              <w:top w:val="nil"/>
              <w:left w:val="nil"/>
              <w:bottom w:val="nil"/>
              <w:right w:val="nil"/>
            </w:tcBorders>
            <w:vAlign w:val="bottom"/>
          </w:tcPr>
          <w:p w:rsidR="00CC24F8" w:rsidRDefault="00CC24F8" w:rsidP="00CC24F8">
            <w:pPr>
              <w:pStyle w:val="normal0"/>
            </w:pPr>
          </w:p>
        </w:tc>
        <w:tc>
          <w:tcPr>
            <w:tcW w:w="1005" w:type="dxa"/>
            <w:tcBorders>
              <w:top w:val="nil"/>
              <w:left w:val="nil"/>
              <w:bottom w:val="nil"/>
              <w:right w:val="nil"/>
            </w:tcBorders>
            <w:vAlign w:val="bottom"/>
          </w:tcPr>
          <w:p w:rsidR="00CC24F8" w:rsidRDefault="00CC24F8" w:rsidP="00CC24F8">
            <w:pPr>
              <w:pStyle w:val="normal0"/>
            </w:pPr>
          </w:p>
        </w:tc>
        <w:tc>
          <w:tcPr>
            <w:tcW w:w="1215" w:type="dxa"/>
            <w:tcBorders>
              <w:top w:val="nil"/>
              <w:left w:val="nil"/>
              <w:bottom w:val="nil"/>
              <w:right w:val="nil"/>
            </w:tcBorders>
            <w:vAlign w:val="bottom"/>
          </w:tcPr>
          <w:p w:rsidR="00CC24F8" w:rsidRDefault="00CC24F8" w:rsidP="00CC24F8">
            <w:pPr>
              <w:pStyle w:val="normal0"/>
            </w:pPr>
          </w:p>
        </w:tc>
        <w:tc>
          <w:tcPr>
            <w:tcW w:w="1275" w:type="dxa"/>
            <w:tcBorders>
              <w:top w:val="nil"/>
              <w:left w:val="nil"/>
              <w:bottom w:val="nil"/>
              <w:right w:val="nil"/>
            </w:tcBorders>
            <w:vAlign w:val="bottom"/>
          </w:tcPr>
          <w:p w:rsidR="00CC24F8" w:rsidRDefault="00CC24F8" w:rsidP="00CC24F8">
            <w:pPr>
              <w:pStyle w:val="normal0"/>
            </w:pPr>
          </w:p>
        </w:tc>
        <w:tc>
          <w:tcPr>
            <w:tcW w:w="1215" w:type="dxa"/>
            <w:tcBorders>
              <w:top w:val="nil"/>
              <w:left w:val="nil"/>
              <w:bottom w:val="nil"/>
              <w:right w:val="nil"/>
            </w:tcBorders>
            <w:vAlign w:val="bottom"/>
          </w:tcPr>
          <w:p w:rsidR="00CC24F8" w:rsidRDefault="00CC24F8" w:rsidP="00CC24F8">
            <w:pPr>
              <w:pStyle w:val="normal0"/>
            </w:pPr>
          </w:p>
        </w:tc>
        <w:tc>
          <w:tcPr>
            <w:tcW w:w="1215" w:type="dxa"/>
            <w:tcBorders>
              <w:top w:val="nil"/>
              <w:left w:val="nil"/>
              <w:bottom w:val="nil"/>
              <w:right w:val="nil"/>
            </w:tcBorders>
            <w:vAlign w:val="bottom"/>
          </w:tcPr>
          <w:p w:rsidR="00CC24F8" w:rsidRDefault="00CC24F8" w:rsidP="00CC24F8">
            <w:pPr>
              <w:pStyle w:val="normal0"/>
            </w:pPr>
          </w:p>
        </w:tc>
        <w:tc>
          <w:tcPr>
            <w:tcW w:w="1215" w:type="dxa"/>
            <w:tcBorders>
              <w:top w:val="nil"/>
              <w:left w:val="single" w:sz="4" w:space="0" w:color="000000"/>
              <w:bottom w:val="single" w:sz="4" w:space="0" w:color="000000"/>
              <w:right w:val="single" w:sz="4" w:space="0" w:color="000000"/>
            </w:tcBorders>
            <w:shd w:val="clear" w:color="auto" w:fill="C6EFCE"/>
            <w:vAlign w:val="bottom"/>
          </w:tcPr>
          <w:p w:rsidR="00CC24F8" w:rsidRDefault="00CC24F8" w:rsidP="00CC24F8">
            <w:pPr>
              <w:pStyle w:val="normal0"/>
            </w:pPr>
            <w:r>
              <w:rPr>
                <w:b/>
                <w:color w:val="006100"/>
              </w:rPr>
              <w:t>Net benefit:</w:t>
            </w:r>
          </w:p>
        </w:tc>
        <w:tc>
          <w:tcPr>
            <w:tcW w:w="1215" w:type="dxa"/>
            <w:tcBorders>
              <w:top w:val="nil"/>
              <w:left w:val="nil"/>
              <w:bottom w:val="single" w:sz="4" w:space="0" w:color="000000"/>
              <w:right w:val="single" w:sz="4" w:space="0" w:color="000000"/>
            </w:tcBorders>
            <w:shd w:val="clear" w:color="auto" w:fill="C6EFCE"/>
            <w:vAlign w:val="bottom"/>
          </w:tcPr>
          <w:p w:rsidR="00CC24F8" w:rsidRDefault="00CC24F8" w:rsidP="00CC24F8">
            <w:pPr>
              <w:pStyle w:val="normal0"/>
              <w:jc w:val="right"/>
            </w:pPr>
            <w:r>
              <w:rPr>
                <w:color w:val="006100"/>
              </w:rPr>
              <w:t xml:space="preserve">$2,800,000 </w:t>
            </w:r>
          </w:p>
        </w:tc>
      </w:tr>
    </w:tbl>
    <w:p w:rsidR="00F76794" w:rsidRDefault="00CC24F8" w:rsidP="00CC24F8">
      <w:pPr>
        <w:pStyle w:val="normal0"/>
        <w:spacing w:line="480" w:lineRule="auto"/>
      </w:pPr>
      <w:r>
        <w:tab/>
      </w:r>
      <w:r>
        <w:tab/>
      </w:r>
      <w:r>
        <w:tab/>
      </w:r>
      <w:r>
        <w:tab/>
      </w:r>
      <w:r>
        <w:tab/>
      </w:r>
      <w:r>
        <w:tab/>
        <w:t>Works Cited</w:t>
      </w:r>
    </w:p>
    <w:p w:rsidR="00F76794" w:rsidRDefault="00CC24F8" w:rsidP="00CC24F8">
      <w:pPr>
        <w:pStyle w:val="normal0"/>
        <w:spacing w:line="480" w:lineRule="auto"/>
        <w:ind w:left="720" w:hanging="720"/>
      </w:pPr>
      <w:hyperlink r:id="rId5">
        <w:r>
          <w:rPr>
            <w:color w:val="1155CC"/>
            <w:u w:val="single"/>
          </w:rPr>
          <w:t>https://w</w:t>
        </w:r>
        <w:r>
          <w:rPr>
            <w:color w:val="1155CC"/>
            <w:u w:val="single"/>
          </w:rPr>
          <w:t>w</w:t>
        </w:r>
        <w:r>
          <w:rPr>
            <w:color w:val="1155CC"/>
            <w:u w:val="single"/>
          </w:rPr>
          <w:t>w.gartner.com/doc/354152/server-consolidation-benefits-challenges</w:t>
        </w:r>
      </w:hyperlink>
    </w:p>
    <w:p w:rsidR="00F76794" w:rsidRDefault="00CC24F8" w:rsidP="00CC24F8">
      <w:pPr>
        <w:pStyle w:val="normal0"/>
        <w:spacing w:line="480" w:lineRule="auto"/>
        <w:ind w:left="720" w:hanging="720"/>
      </w:pPr>
      <w:hyperlink r:id="rId6">
        <w:r>
          <w:rPr>
            <w:color w:val="1155CC"/>
            <w:u w:val="single"/>
          </w:rPr>
          <w:t>http://www.sysprobs.com/server-consolidation-benefits-with-real-world-examples</w:t>
        </w:r>
      </w:hyperlink>
    </w:p>
    <w:bookmarkStart w:id="1" w:name="_gjdgxs" w:colFirst="0" w:colLast="0"/>
    <w:bookmarkEnd w:id="1"/>
    <w:p w:rsidR="00F76794" w:rsidRDefault="00CC24F8" w:rsidP="00CC24F8">
      <w:pPr>
        <w:pStyle w:val="normal0"/>
        <w:spacing w:line="480" w:lineRule="auto"/>
        <w:ind w:left="720" w:hanging="720"/>
      </w:pPr>
      <w:r>
        <w:fldChar w:fldCharType="begin"/>
      </w:r>
      <w:r>
        <w:instrText xml:space="preserve"> HYPERLINK "http://www.gartner.com/document/3270618?ref=solrAll&amp;refval=174824574&amp;qid=c68e6bfe69795bf28e528a111e26da24" \h </w:instrText>
      </w:r>
      <w:r>
        <w:fldChar w:fldCharType="separate"/>
      </w:r>
      <w:r>
        <w:rPr>
          <w:color w:val="1155CC"/>
          <w:u w:val="single"/>
        </w:rPr>
        <w:t>http://www.gartne</w:t>
      </w:r>
      <w:r>
        <w:rPr>
          <w:color w:val="1155CC"/>
          <w:u w:val="single"/>
        </w:rPr>
        <w:t>r.com/document/3270618?ref=solrAll&amp;refval=174824574&amp;qid=c68e6bfe69795bf28e528a111e26da24</w:t>
      </w:r>
      <w:r>
        <w:rPr>
          <w:color w:val="1155CC"/>
          <w:u w:val="single"/>
        </w:rPr>
        <w:fldChar w:fldCharType="end"/>
      </w:r>
      <w:hyperlink r:id="rId7"/>
    </w:p>
    <w:p w:rsidR="00F76794" w:rsidRDefault="00CC24F8" w:rsidP="00CC24F8">
      <w:pPr>
        <w:pStyle w:val="normal0"/>
        <w:spacing w:line="480" w:lineRule="auto"/>
        <w:ind w:left="720" w:hanging="720"/>
      </w:pPr>
      <w:hyperlink r:id="rId8">
        <w:r>
          <w:rPr>
            <w:color w:val="1155CC"/>
            <w:u w:val="single"/>
          </w:rPr>
          <w:t>http://www.gartner.com/document/3388318?ref=solrAll&amp;refval=174824425&amp;qid=e153956fec763059e3e0aa590cd4fdf0</w:t>
        </w:r>
      </w:hyperlink>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p w:rsidR="00F76794" w:rsidRDefault="00F76794">
      <w:pPr>
        <w:pStyle w:val="normal0"/>
      </w:pPr>
    </w:p>
    <w:sectPr w:rsidR="00F767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isplayBackgroundShape/>
  <w:proofState w:spelling="clean" w:grammar="clean"/>
  <w:defaultTabStop w:val="720"/>
  <w:characterSpacingControl w:val="doNotCompress"/>
  <w:compat>
    <w:compatSetting w:name="compatibilityMode" w:uri="http://schemas.microsoft.com/office/word" w:val="14"/>
  </w:compat>
  <w:rsids>
    <w:rsidRoot w:val="00F76794"/>
    <w:rsid w:val="00CC24F8"/>
    <w:rsid w:val="00F7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artner.com/doc/354152/server-consolidation-benefits-challenges" TargetMode="External"/><Relationship Id="rId6" Type="http://schemas.openxmlformats.org/officeDocument/2006/relationships/hyperlink" Target="http://www.sysprobs.com/server-consolidation-benefits-with-real-world-examples" TargetMode="External"/><Relationship Id="rId7" Type="http://schemas.openxmlformats.org/officeDocument/2006/relationships/hyperlink" Target="http://www.gartner.com/document/3325217?ref=solrAll&amp;refval=174824425&amp;qid=e153956fec763059e3e0aa590cd4fdf0" TargetMode="External"/><Relationship Id="rId8" Type="http://schemas.openxmlformats.org/officeDocument/2006/relationships/hyperlink" Target="http://www.gartner.com/document/3388318?ref=solrAll&amp;refval=174824425&amp;qid=e153956fec763059e3e0aa590cd4fdf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Leaver</cp:lastModifiedBy>
  <cp:revision>2</cp:revision>
  <dcterms:created xsi:type="dcterms:W3CDTF">2016-10-11T13:38:00Z</dcterms:created>
  <dcterms:modified xsi:type="dcterms:W3CDTF">2016-10-11T13:38:00Z</dcterms:modified>
</cp:coreProperties>
</file>