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AEFA8" w14:textId="77777777" w:rsidR="005A535F" w:rsidRPr="00AE1A7F" w:rsidRDefault="00F8098A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Mojahed Ibrahim</w:t>
      </w:r>
    </w:p>
    <w:p w14:paraId="3938EAA8" w14:textId="77777777" w:rsidR="00F8098A" w:rsidRDefault="00F8098A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Flash Research</w:t>
      </w:r>
      <w:r w:rsidR="00AE1A7F">
        <w:rPr>
          <w:rFonts w:cstheme="minorHAnsi"/>
          <w:sz w:val="28"/>
        </w:rPr>
        <w:t xml:space="preserve"> Paper</w:t>
      </w:r>
    </w:p>
    <w:p w14:paraId="578EF4CA" w14:textId="77777777" w:rsidR="00AE1A7F" w:rsidRDefault="00AE1A7F">
      <w:pPr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Mis</w:t>
      </w:r>
      <w:proofErr w:type="spellEnd"/>
      <w:r>
        <w:rPr>
          <w:rFonts w:cstheme="minorHAnsi"/>
          <w:sz w:val="28"/>
        </w:rPr>
        <w:t xml:space="preserve"> 2501</w:t>
      </w:r>
    </w:p>
    <w:p w14:paraId="2251C758" w14:textId="77777777" w:rsidR="00AE1A7F" w:rsidRPr="00AE1A7F" w:rsidRDefault="00AE1A7F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Martin Doyle </w:t>
      </w:r>
    </w:p>
    <w:p w14:paraId="36594C44" w14:textId="77777777" w:rsidR="002C09AC" w:rsidRPr="00AE1A7F" w:rsidRDefault="00F8098A" w:rsidP="009B3E6E">
      <w:pPr>
        <w:jc w:val="center"/>
        <w:rPr>
          <w:rFonts w:cstheme="minorHAnsi"/>
          <w:sz w:val="36"/>
          <w:szCs w:val="24"/>
        </w:rPr>
      </w:pPr>
      <w:r w:rsidRPr="00AE1A7F">
        <w:rPr>
          <w:rFonts w:cstheme="minorHAnsi"/>
          <w:sz w:val="36"/>
          <w:szCs w:val="24"/>
        </w:rPr>
        <w:t>Data Centers and Networking</w:t>
      </w:r>
    </w:p>
    <w:p w14:paraId="2BAACEDE" w14:textId="77777777" w:rsidR="00F8098A" w:rsidRPr="00F819FA" w:rsidRDefault="00D364E1" w:rsidP="00F819FA">
      <w:pPr>
        <w:spacing w:line="480" w:lineRule="auto"/>
        <w:ind w:firstLine="720"/>
        <w:rPr>
          <w:rFonts w:cstheme="minorHAnsi"/>
          <w:sz w:val="24"/>
        </w:rPr>
      </w:pPr>
      <w:r w:rsidRPr="00F819FA">
        <w:rPr>
          <w:rFonts w:cstheme="minorHAnsi"/>
          <w:sz w:val="24"/>
        </w:rPr>
        <w:t xml:space="preserve">Our company should switch to a Tier III datacenter because the net benefit would be </w:t>
      </w:r>
      <w:r w:rsidR="00AA2011" w:rsidRPr="00F819FA">
        <w:rPr>
          <w:rFonts w:cstheme="minorHAnsi"/>
          <w:sz w:val="24"/>
        </w:rPr>
        <w:t xml:space="preserve">13,229,056 </w:t>
      </w:r>
      <w:r w:rsidRPr="00F819FA">
        <w:rPr>
          <w:rFonts w:cstheme="minorHAnsi"/>
          <w:sz w:val="24"/>
        </w:rPr>
        <w:t xml:space="preserve">within three years of implementation.  A Tier III datacenter </w:t>
      </w:r>
      <w:r w:rsidR="00792B89" w:rsidRPr="00F819FA">
        <w:rPr>
          <w:rFonts w:cstheme="minorHAnsi"/>
          <w:sz w:val="24"/>
        </w:rPr>
        <w:t>with improve our availability because of its capability to stay running even while components are being replaced</w:t>
      </w:r>
      <w:r w:rsidRPr="00F819FA">
        <w:rPr>
          <w:rFonts w:cstheme="minorHAnsi"/>
          <w:sz w:val="24"/>
        </w:rPr>
        <w:t xml:space="preserve">. Upgrading to a Tier III datacenter will decrease downtime by </w:t>
      </w:r>
      <w:r w:rsidR="00530903" w:rsidRPr="00F819FA">
        <w:rPr>
          <w:rFonts w:cstheme="minorHAnsi"/>
          <w:sz w:val="24"/>
        </w:rPr>
        <w:t xml:space="preserve">0.31%. </w:t>
      </w:r>
    </w:p>
    <w:p w14:paraId="6621ECA0" w14:textId="77777777" w:rsidR="00047347" w:rsidRPr="00F819FA" w:rsidRDefault="00C63B73" w:rsidP="00F819FA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F819FA">
        <w:rPr>
          <w:rFonts w:cstheme="minorHAnsi"/>
          <w:sz w:val="24"/>
          <w:szCs w:val="24"/>
        </w:rPr>
        <w:t xml:space="preserve">A Tier </w:t>
      </w:r>
      <w:r w:rsidR="00792B89" w:rsidRPr="00F819FA">
        <w:rPr>
          <w:rFonts w:cstheme="minorHAnsi"/>
          <w:sz w:val="24"/>
          <w:szCs w:val="24"/>
        </w:rPr>
        <w:t xml:space="preserve">III </w:t>
      </w:r>
      <w:r w:rsidR="006B5CE1" w:rsidRPr="00F819FA">
        <w:rPr>
          <w:rFonts w:cstheme="minorHAnsi"/>
          <w:sz w:val="24"/>
          <w:szCs w:val="24"/>
        </w:rPr>
        <w:t>datacenter has the benefits of a Tier I &amp; II as well as having multiple power sources for all IT equipment</w:t>
      </w:r>
      <w:r w:rsidR="004311D3" w:rsidRPr="00F819FA">
        <w:rPr>
          <w:rFonts w:cstheme="minorHAnsi"/>
          <w:sz w:val="24"/>
          <w:szCs w:val="24"/>
        </w:rPr>
        <w:t xml:space="preserve"> (</w:t>
      </w:r>
      <w:proofErr w:type="spellStart"/>
      <w:r w:rsidR="004311D3" w:rsidRPr="00F819FA">
        <w:rPr>
          <w:rFonts w:cstheme="minorHAnsi"/>
          <w:sz w:val="24"/>
          <w:szCs w:val="24"/>
        </w:rPr>
        <w:t>DataCave</w:t>
      </w:r>
      <w:proofErr w:type="spellEnd"/>
      <w:r w:rsidR="004311D3" w:rsidRPr="00F819FA">
        <w:rPr>
          <w:rFonts w:cstheme="minorHAnsi"/>
          <w:sz w:val="24"/>
          <w:szCs w:val="24"/>
        </w:rPr>
        <w:t>, 2014)</w:t>
      </w:r>
      <w:r w:rsidR="006B5CE1" w:rsidRPr="00F819FA">
        <w:rPr>
          <w:rFonts w:cstheme="minorHAnsi"/>
          <w:sz w:val="24"/>
          <w:szCs w:val="24"/>
        </w:rPr>
        <w:t xml:space="preserve">. </w:t>
      </w:r>
      <w:r w:rsidR="00D86EAA" w:rsidRPr="00F819FA">
        <w:rPr>
          <w:rFonts w:cstheme="minorHAnsi"/>
          <w:sz w:val="24"/>
          <w:szCs w:val="24"/>
        </w:rPr>
        <w:t xml:space="preserve"> This allows the system to stay up and running if</w:t>
      </w:r>
      <w:r w:rsidR="00DC414E" w:rsidRPr="00F819FA">
        <w:rPr>
          <w:rFonts w:cstheme="minorHAnsi"/>
          <w:sz w:val="24"/>
          <w:szCs w:val="24"/>
        </w:rPr>
        <w:t xml:space="preserve"> any components need to be replaced or are removed. </w:t>
      </w:r>
      <w:r w:rsidR="00572DCA" w:rsidRPr="00F819FA">
        <w:rPr>
          <w:rFonts w:cstheme="minorHAnsi"/>
          <w:sz w:val="24"/>
          <w:szCs w:val="24"/>
        </w:rPr>
        <w:t xml:space="preserve">Any unplanned outages will be unlikely to cause any disruption to equipment as </w:t>
      </w:r>
      <w:r w:rsidR="0032260D" w:rsidRPr="00F819FA">
        <w:rPr>
          <w:rFonts w:cstheme="minorHAnsi"/>
          <w:sz w:val="24"/>
          <w:szCs w:val="24"/>
        </w:rPr>
        <w:t>well (</w:t>
      </w:r>
      <w:proofErr w:type="spellStart"/>
      <w:r w:rsidR="0032260D" w:rsidRPr="00F819FA">
        <w:rPr>
          <w:rFonts w:cstheme="minorHAnsi"/>
          <w:sz w:val="24"/>
          <w:szCs w:val="24"/>
        </w:rPr>
        <w:t>Coreix</w:t>
      </w:r>
      <w:proofErr w:type="spellEnd"/>
      <w:r w:rsidR="0032260D" w:rsidRPr="00F819FA">
        <w:rPr>
          <w:rFonts w:cstheme="minorHAnsi"/>
          <w:sz w:val="24"/>
          <w:szCs w:val="24"/>
        </w:rPr>
        <w:t xml:space="preserve">). </w:t>
      </w:r>
      <w:r w:rsidR="00DC414E" w:rsidRPr="00F819FA">
        <w:rPr>
          <w:rFonts w:cstheme="minorHAnsi"/>
          <w:sz w:val="24"/>
          <w:szCs w:val="24"/>
        </w:rPr>
        <w:t>Compare</w:t>
      </w:r>
      <w:r w:rsidR="00D86EAA" w:rsidRPr="00F819FA">
        <w:rPr>
          <w:rFonts w:cstheme="minorHAnsi"/>
          <w:sz w:val="24"/>
          <w:szCs w:val="24"/>
        </w:rPr>
        <w:t xml:space="preserve"> </w:t>
      </w:r>
      <w:r w:rsidR="00DC414E" w:rsidRPr="00F819FA">
        <w:rPr>
          <w:rFonts w:cstheme="minorHAnsi"/>
          <w:sz w:val="24"/>
          <w:szCs w:val="24"/>
        </w:rPr>
        <w:t xml:space="preserve">this </w:t>
      </w:r>
      <w:r w:rsidR="00D86EAA" w:rsidRPr="00F819FA">
        <w:rPr>
          <w:rFonts w:cstheme="minorHAnsi"/>
          <w:sz w:val="24"/>
          <w:szCs w:val="24"/>
        </w:rPr>
        <w:t>to a Tier</w:t>
      </w:r>
      <w:r w:rsidR="00DC414E" w:rsidRPr="00F819FA">
        <w:rPr>
          <w:rFonts w:cstheme="minorHAnsi"/>
          <w:sz w:val="24"/>
          <w:szCs w:val="24"/>
        </w:rPr>
        <w:t xml:space="preserve"> I</w:t>
      </w:r>
      <w:r w:rsidR="00D86EAA" w:rsidRPr="00F819FA">
        <w:rPr>
          <w:rFonts w:cstheme="minorHAnsi"/>
          <w:sz w:val="24"/>
          <w:szCs w:val="24"/>
        </w:rPr>
        <w:t xml:space="preserve"> which would require to be shut down in any case</w:t>
      </w:r>
      <w:r w:rsidR="00DC414E" w:rsidRPr="00F819FA">
        <w:rPr>
          <w:rFonts w:cstheme="minorHAnsi"/>
          <w:sz w:val="24"/>
          <w:szCs w:val="24"/>
        </w:rPr>
        <w:t xml:space="preserve"> of necessary work</w:t>
      </w:r>
      <w:r w:rsidR="00C51F64" w:rsidRPr="00F819FA">
        <w:rPr>
          <w:rFonts w:cstheme="minorHAnsi"/>
          <w:sz w:val="24"/>
          <w:szCs w:val="24"/>
        </w:rPr>
        <w:t xml:space="preserve"> because of having no redundancy in power (Colocation America)</w:t>
      </w:r>
      <w:r w:rsidR="00D86EAA" w:rsidRPr="00F819FA">
        <w:rPr>
          <w:rFonts w:cstheme="minorHAnsi"/>
          <w:sz w:val="24"/>
          <w:szCs w:val="24"/>
        </w:rPr>
        <w:t xml:space="preserve">. </w:t>
      </w:r>
      <w:r w:rsidR="00D8033F" w:rsidRPr="00F819FA">
        <w:rPr>
          <w:rFonts w:cstheme="minorHAnsi"/>
          <w:sz w:val="24"/>
          <w:szCs w:val="24"/>
        </w:rPr>
        <w:t>A Tier III also</w:t>
      </w:r>
      <w:r w:rsidR="00A062DF" w:rsidRPr="00F819FA">
        <w:rPr>
          <w:rFonts w:cstheme="minorHAnsi"/>
          <w:sz w:val="24"/>
          <w:szCs w:val="24"/>
        </w:rPr>
        <w:t xml:space="preserve"> has multiple power and cooling </w:t>
      </w:r>
      <w:r w:rsidR="00D86EAA" w:rsidRPr="00F819FA">
        <w:rPr>
          <w:rFonts w:cstheme="minorHAnsi"/>
          <w:sz w:val="24"/>
          <w:szCs w:val="24"/>
        </w:rPr>
        <w:t>distribution</w:t>
      </w:r>
      <w:r w:rsidR="00A062DF" w:rsidRPr="00F819FA">
        <w:rPr>
          <w:rFonts w:cstheme="minorHAnsi"/>
          <w:sz w:val="24"/>
          <w:szCs w:val="24"/>
        </w:rPr>
        <w:t xml:space="preserve"> paths</w:t>
      </w:r>
      <w:r w:rsidR="00D65DA5" w:rsidRPr="00F819FA">
        <w:rPr>
          <w:rFonts w:cstheme="minorHAnsi"/>
          <w:sz w:val="24"/>
          <w:szCs w:val="24"/>
        </w:rPr>
        <w:t xml:space="preserve"> leading to less overheating. This increases the availability from 99.67% to 99.98%. </w:t>
      </w:r>
    </w:p>
    <w:p w14:paraId="43C1EEDA" w14:textId="77777777" w:rsidR="00A21DBB" w:rsidRPr="00F819FA" w:rsidRDefault="009B3E6E" w:rsidP="00F819FA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F819FA">
        <w:rPr>
          <w:rFonts w:cstheme="minorHAnsi"/>
          <w:sz w:val="24"/>
          <w:szCs w:val="24"/>
        </w:rPr>
        <w:t>Switching to a Tier III datacenter will cost us 35,000,000</w:t>
      </w:r>
      <w:r w:rsidR="00F10079" w:rsidRPr="00F819FA">
        <w:rPr>
          <w:rFonts w:cstheme="minorHAnsi"/>
          <w:sz w:val="24"/>
          <w:szCs w:val="24"/>
        </w:rPr>
        <w:t xml:space="preserve"> in the first year</w:t>
      </w:r>
      <w:r w:rsidRPr="00F819FA">
        <w:rPr>
          <w:rFonts w:cstheme="minorHAnsi"/>
          <w:sz w:val="24"/>
          <w:szCs w:val="24"/>
        </w:rPr>
        <w:t xml:space="preserve">. The process of this will save us a total of </w:t>
      </w:r>
      <w:r w:rsidR="00993D1A" w:rsidRPr="00F819FA">
        <w:rPr>
          <w:rFonts w:cstheme="minorHAnsi"/>
          <w:sz w:val="24"/>
          <w:szCs w:val="24"/>
        </w:rPr>
        <w:t xml:space="preserve">48,229,056 </w:t>
      </w:r>
      <w:r w:rsidRPr="00F819FA">
        <w:rPr>
          <w:rFonts w:cstheme="minorHAnsi"/>
          <w:sz w:val="24"/>
          <w:szCs w:val="24"/>
        </w:rPr>
        <w:t xml:space="preserve">over three years. With the implementation of this datacenter our net benefit will be </w:t>
      </w:r>
      <w:r w:rsidR="00AA2011" w:rsidRPr="00F819FA">
        <w:rPr>
          <w:rFonts w:cstheme="minorHAnsi"/>
          <w:sz w:val="24"/>
        </w:rPr>
        <w:t>13,229,056</w:t>
      </w:r>
      <w:r w:rsidRPr="00F819FA">
        <w:rPr>
          <w:rFonts w:cstheme="minorHAnsi"/>
          <w:sz w:val="24"/>
        </w:rPr>
        <w:t>.</w:t>
      </w:r>
      <w:r w:rsidRPr="00F819FA">
        <w:rPr>
          <w:rFonts w:cstheme="minorHAnsi"/>
          <w:sz w:val="24"/>
          <w:szCs w:val="24"/>
        </w:rPr>
        <w:t xml:space="preserve">  </w:t>
      </w:r>
    </w:p>
    <w:p w14:paraId="01F50228" w14:textId="77777777" w:rsidR="005454B9" w:rsidRPr="00F819FA" w:rsidRDefault="005454B9" w:rsidP="00F819FA">
      <w:pPr>
        <w:spacing w:line="480" w:lineRule="auto"/>
        <w:rPr>
          <w:rFonts w:ascii="Times New Roman" w:hAnsi="Times New Roman" w:cs="Times New Roman"/>
          <w:sz w:val="21"/>
          <w:szCs w:val="24"/>
        </w:rPr>
      </w:pPr>
    </w:p>
    <w:p w14:paraId="2F606DA8" w14:textId="77777777" w:rsidR="00E1374F" w:rsidRDefault="00E1374F" w:rsidP="005C46F4">
      <w:pPr>
        <w:rPr>
          <w:rFonts w:ascii="Times New Roman" w:hAnsi="Times New Roman" w:cs="Times New Roman"/>
          <w:szCs w:val="24"/>
        </w:rPr>
      </w:pPr>
    </w:p>
    <w:p w14:paraId="215B978F" w14:textId="77777777" w:rsidR="009E67CA" w:rsidRDefault="009E67CA" w:rsidP="005C46F4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51D2050A" w14:textId="77777777" w:rsidR="00E1374F" w:rsidRDefault="00E1374F" w:rsidP="005C46F4">
      <w:pPr>
        <w:rPr>
          <w:rFonts w:ascii="Times New Roman" w:hAnsi="Times New Roman" w:cs="Times New Roman"/>
          <w:b/>
          <w:szCs w:val="24"/>
        </w:rPr>
      </w:pPr>
    </w:p>
    <w:p w14:paraId="00D238DA" w14:textId="77777777" w:rsidR="00C81FAA" w:rsidRDefault="00C81FAA" w:rsidP="005C46F4">
      <w:pPr>
        <w:rPr>
          <w:rFonts w:ascii="Times New Roman" w:hAnsi="Times New Roman" w:cs="Times New Roman"/>
          <w:b/>
          <w:szCs w:val="24"/>
        </w:rPr>
      </w:pPr>
    </w:p>
    <w:p w14:paraId="1BDBA13E" w14:textId="77777777" w:rsidR="00C81FAA" w:rsidRDefault="00C81FAA" w:rsidP="005C46F4">
      <w:pPr>
        <w:rPr>
          <w:rFonts w:ascii="Times New Roman" w:hAnsi="Times New Roman" w:cs="Times New Roman"/>
          <w:b/>
          <w:szCs w:val="24"/>
        </w:rPr>
      </w:pPr>
    </w:p>
    <w:p w14:paraId="53C59B25" w14:textId="77777777" w:rsidR="00C81FAA" w:rsidRDefault="00C81FAA" w:rsidP="005C46F4">
      <w:pPr>
        <w:rPr>
          <w:rFonts w:ascii="Times New Roman" w:hAnsi="Times New Roman" w:cs="Times New Roman"/>
          <w:b/>
          <w:szCs w:val="24"/>
        </w:rPr>
      </w:pPr>
    </w:p>
    <w:p w14:paraId="5EDDB4B1" w14:textId="77777777" w:rsidR="00C81FAA" w:rsidRDefault="00C81FAA" w:rsidP="005C46F4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943"/>
        <w:gridCol w:w="1725"/>
        <w:gridCol w:w="2043"/>
        <w:gridCol w:w="1827"/>
      </w:tblGrid>
      <w:tr w:rsidR="00CD5FA8" w14:paraId="1B04C8E2" w14:textId="77777777" w:rsidTr="009D2957">
        <w:tc>
          <w:tcPr>
            <w:tcW w:w="9350" w:type="dxa"/>
            <w:gridSpan w:val="5"/>
          </w:tcPr>
          <w:p w14:paraId="01184467" w14:textId="77777777" w:rsidR="00CD5FA8" w:rsidRDefault="00CD5FA8" w:rsidP="00F944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94455">
              <w:rPr>
                <w:rFonts w:ascii="Times New Roman" w:hAnsi="Times New Roman" w:cs="Times New Roman"/>
                <w:b/>
                <w:sz w:val="24"/>
                <w:szCs w:val="24"/>
              </w:rPr>
              <w:t>Tier 1</w:t>
            </w:r>
            <w:r w:rsidR="0097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Costs</w:t>
            </w:r>
          </w:p>
        </w:tc>
      </w:tr>
      <w:tr w:rsidR="00B32D3F" w14:paraId="274B0FD0" w14:textId="77777777" w:rsidTr="00B32D3F">
        <w:tc>
          <w:tcPr>
            <w:tcW w:w="1812" w:type="dxa"/>
          </w:tcPr>
          <w:p w14:paraId="219B590D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Cost per min </w:t>
            </w:r>
          </w:p>
        </w:tc>
        <w:tc>
          <w:tcPr>
            <w:tcW w:w="1943" w:type="dxa"/>
          </w:tcPr>
          <w:p w14:paraId="5FB4099F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Minutes</w:t>
            </w:r>
          </w:p>
        </w:tc>
        <w:tc>
          <w:tcPr>
            <w:tcW w:w="1725" w:type="dxa"/>
          </w:tcPr>
          <w:p w14:paraId="18E1FC4F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Availability </w:t>
            </w:r>
          </w:p>
        </w:tc>
        <w:tc>
          <w:tcPr>
            <w:tcW w:w="2043" w:type="dxa"/>
          </w:tcPr>
          <w:p w14:paraId="30990EE8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Downtime</w:t>
            </w:r>
            <w:r w:rsidR="008E40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27" w:type="dxa"/>
          </w:tcPr>
          <w:p w14:paraId="7ADDBA90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Total cost of downtime a year </w:t>
            </w:r>
          </w:p>
        </w:tc>
      </w:tr>
      <w:tr w:rsidR="00B32D3F" w14:paraId="04C0063B" w14:textId="77777777" w:rsidTr="00B32D3F">
        <w:tc>
          <w:tcPr>
            <w:tcW w:w="1812" w:type="dxa"/>
          </w:tcPr>
          <w:p w14:paraId="05AA6ED1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$14,800</w:t>
            </w:r>
          </w:p>
        </w:tc>
        <w:tc>
          <w:tcPr>
            <w:tcW w:w="1943" w:type="dxa"/>
          </w:tcPr>
          <w:p w14:paraId="7669E9A4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525,600</w:t>
            </w:r>
          </w:p>
        </w:tc>
        <w:tc>
          <w:tcPr>
            <w:tcW w:w="1725" w:type="dxa"/>
          </w:tcPr>
          <w:p w14:paraId="58352EBD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99.67%</w:t>
            </w:r>
          </w:p>
        </w:tc>
        <w:tc>
          <w:tcPr>
            <w:tcW w:w="2043" w:type="dxa"/>
          </w:tcPr>
          <w:p w14:paraId="0B4EF3BC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1,734.48</w:t>
            </w:r>
          </w:p>
        </w:tc>
        <w:tc>
          <w:tcPr>
            <w:tcW w:w="1827" w:type="dxa"/>
          </w:tcPr>
          <w:p w14:paraId="6EE93C6D" w14:textId="77777777" w:rsidR="00B32D3F" w:rsidRDefault="00B32D3F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$25,670,304.00</w:t>
            </w:r>
          </w:p>
        </w:tc>
      </w:tr>
    </w:tbl>
    <w:tbl>
      <w:tblPr>
        <w:tblStyle w:val="TableGrid"/>
        <w:tblpPr w:leftFromText="180" w:rightFromText="180" w:vertAnchor="text" w:horzAnchor="page" w:tblpX="8435" w:tblpY="265"/>
        <w:tblW w:w="0" w:type="auto"/>
        <w:tblLook w:val="04A0" w:firstRow="1" w:lastRow="0" w:firstColumn="1" w:lastColumn="0" w:noHBand="0" w:noVBand="1"/>
      </w:tblPr>
      <w:tblGrid>
        <w:gridCol w:w="1026"/>
        <w:gridCol w:w="1026"/>
        <w:gridCol w:w="1026"/>
      </w:tblGrid>
      <w:tr w:rsidR="00E1374F" w14:paraId="23001A7A" w14:textId="77777777" w:rsidTr="00E1374F">
        <w:trPr>
          <w:trHeight w:val="250"/>
        </w:trPr>
        <w:tc>
          <w:tcPr>
            <w:tcW w:w="1026" w:type="dxa"/>
          </w:tcPr>
          <w:p w14:paraId="55BBB6CF" w14:textId="77777777" w:rsidR="00E1374F" w:rsidRPr="004B23E1" w:rsidRDefault="00E1374F" w:rsidP="00E137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23E1">
              <w:rPr>
                <w:rFonts w:ascii="Times New Roman" w:hAnsi="Times New Roman" w:cs="Times New Roman"/>
                <w:b/>
                <w:sz w:val="18"/>
                <w:szCs w:val="24"/>
              </w:rPr>
              <w:t>1 Year</w:t>
            </w:r>
          </w:p>
        </w:tc>
        <w:tc>
          <w:tcPr>
            <w:tcW w:w="1026" w:type="dxa"/>
          </w:tcPr>
          <w:p w14:paraId="1D6117F1" w14:textId="77777777" w:rsidR="00E1374F" w:rsidRPr="004B23E1" w:rsidRDefault="00E1374F" w:rsidP="00E137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23E1">
              <w:rPr>
                <w:rFonts w:ascii="Times New Roman" w:hAnsi="Times New Roman" w:cs="Times New Roman"/>
                <w:b/>
                <w:sz w:val="18"/>
                <w:szCs w:val="24"/>
              </w:rPr>
              <w:t>2 years</w:t>
            </w:r>
          </w:p>
        </w:tc>
        <w:tc>
          <w:tcPr>
            <w:tcW w:w="1026" w:type="dxa"/>
          </w:tcPr>
          <w:p w14:paraId="30E02BE1" w14:textId="77777777" w:rsidR="00E1374F" w:rsidRPr="004B23E1" w:rsidRDefault="00E1374F" w:rsidP="00E137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23E1">
              <w:rPr>
                <w:rFonts w:ascii="Times New Roman" w:hAnsi="Times New Roman" w:cs="Times New Roman"/>
                <w:b/>
                <w:sz w:val="18"/>
                <w:szCs w:val="24"/>
              </w:rPr>
              <w:t>3 years</w:t>
            </w:r>
          </w:p>
        </w:tc>
      </w:tr>
      <w:tr w:rsidR="00E1374F" w14:paraId="602F55AC" w14:textId="77777777" w:rsidTr="00E1374F">
        <w:trPr>
          <w:trHeight w:val="250"/>
        </w:trPr>
        <w:tc>
          <w:tcPr>
            <w:tcW w:w="1026" w:type="dxa"/>
          </w:tcPr>
          <w:p w14:paraId="56047596" w14:textId="77777777" w:rsidR="00E1374F" w:rsidRPr="004B23E1" w:rsidRDefault="00E1374F" w:rsidP="00E137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23E1">
              <w:rPr>
                <w:rFonts w:ascii="Times New Roman" w:hAnsi="Times New Roman" w:cs="Times New Roman"/>
                <w:b/>
                <w:sz w:val="18"/>
                <w:szCs w:val="24"/>
              </w:rPr>
              <w:t>25,670,304</w:t>
            </w:r>
          </w:p>
        </w:tc>
        <w:tc>
          <w:tcPr>
            <w:tcW w:w="1026" w:type="dxa"/>
          </w:tcPr>
          <w:p w14:paraId="041FEF56" w14:textId="77777777" w:rsidR="00E1374F" w:rsidRPr="004B23E1" w:rsidRDefault="00E1374F" w:rsidP="00E137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23E1">
              <w:rPr>
                <w:rFonts w:ascii="Times New Roman" w:hAnsi="Times New Roman" w:cs="Times New Roman"/>
                <w:b/>
                <w:sz w:val="18"/>
                <w:szCs w:val="24"/>
              </w:rPr>
              <w:t>51,340,608</w:t>
            </w:r>
          </w:p>
        </w:tc>
        <w:tc>
          <w:tcPr>
            <w:tcW w:w="1026" w:type="dxa"/>
          </w:tcPr>
          <w:p w14:paraId="582D62AC" w14:textId="77777777" w:rsidR="00E1374F" w:rsidRPr="004B23E1" w:rsidRDefault="00E1374F" w:rsidP="00E137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23E1">
              <w:rPr>
                <w:rFonts w:ascii="Times New Roman" w:hAnsi="Times New Roman" w:cs="Times New Roman"/>
                <w:b/>
                <w:sz w:val="18"/>
                <w:szCs w:val="24"/>
              </w:rPr>
              <w:t>77,010,912</w:t>
            </w:r>
          </w:p>
        </w:tc>
      </w:tr>
    </w:tbl>
    <w:p w14:paraId="12F684A0" w14:textId="77777777" w:rsidR="0074705E" w:rsidRDefault="0074705E" w:rsidP="005C46F4">
      <w:pPr>
        <w:rPr>
          <w:rFonts w:ascii="Times New Roman" w:hAnsi="Times New Roman" w:cs="Times New Roman"/>
          <w:b/>
          <w:szCs w:val="24"/>
        </w:rPr>
      </w:pPr>
    </w:p>
    <w:p w14:paraId="164A9923" w14:textId="77777777" w:rsidR="0074705E" w:rsidRDefault="0074705E" w:rsidP="005C46F4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11176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1182"/>
        <w:gridCol w:w="1481"/>
        <w:gridCol w:w="889"/>
        <w:gridCol w:w="98"/>
        <w:gridCol w:w="1108"/>
        <w:gridCol w:w="373"/>
        <w:gridCol w:w="833"/>
        <w:gridCol w:w="1206"/>
        <w:gridCol w:w="37"/>
        <w:gridCol w:w="3969"/>
      </w:tblGrid>
      <w:tr w:rsidR="00515F78" w14:paraId="568D6324" w14:textId="77777777" w:rsidTr="00515F78">
        <w:trPr>
          <w:trHeight w:val="253"/>
        </w:trPr>
        <w:tc>
          <w:tcPr>
            <w:tcW w:w="11176" w:type="dxa"/>
            <w:gridSpan w:val="10"/>
          </w:tcPr>
          <w:p w14:paraId="46E1913B" w14:textId="77777777" w:rsidR="00515F78" w:rsidRDefault="00515F78" w:rsidP="00481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Tier III Costs &amp; Benefits</w:t>
            </w:r>
          </w:p>
        </w:tc>
      </w:tr>
      <w:tr w:rsidR="00515F78" w14:paraId="146A7762" w14:textId="77777777" w:rsidTr="00515F78">
        <w:trPr>
          <w:trHeight w:val="508"/>
        </w:trPr>
        <w:tc>
          <w:tcPr>
            <w:tcW w:w="1182" w:type="dxa"/>
          </w:tcPr>
          <w:p w14:paraId="09214CB3" w14:textId="77777777" w:rsidR="00515F78" w:rsidRPr="008E4009" w:rsidRDefault="00515F78" w:rsidP="005C46F4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E400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Minutes </w:t>
            </w:r>
          </w:p>
        </w:tc>
        <w:tc>
          <w:tcPr>
            <w:tcW w:w="1481" w:type="dxa"/>
          </w:tcPr>
          <w:p w14:paraId="5D8822BA" w14:textId="77777777" w:rsidR="00515F78" w:rsidRPr="008E4009" w:rsidRDefault="00515F78" w:rsidP="005C46F4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E4009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Availability </w:t>
            </w:r>
          </w:p>
        </w:tc>
        <w:tc>
          <w:tcPr>
            <w:tcW w:w="889" w:type="dxa"/>
          </w:tcPr>
          <w:p w14:paraId="4AA92026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06" w:type="dxa"/>
            <w:gridSpan w:val="2"/>
          </w:tcPr>
          <w:p w14:paraId="55431ED4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Year 1 </w:t>
            </w:r>
          </w:p>
        </w:tc>
        <w:tc>
          <w:tcPr>
            <w:tcW w:w="1206" w:type="dxa"/>
            <w:gridSpan w:val="2"/>
          </w:tcPr>
          <w:p w14:paraId="0B02A0BB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Year 2</w:t>
            </w:r>
          </w:p>
        </w:tc>
        <w:tc>
          <w:tcPr>
            <w:tcW w:w="1206" w:type="dxa"/>
          </w:tcPr>
          <w:p w14:paraId="7EDCE71E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Year 3</w:t>
            </w:r>
          </w:p>
        </w:tc>
        <w:tc>
          <w:tcPr>
            <w:tcW w:w="4006" w:type="dxa"/>
            <w:gridSpan w:val="2"/>
          </w:tcPr>
          <w:p w14:paraId="7B9B6B25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</w:tr>
      <w:tr w:rsidR="00515F78" w14:paraId="1CB12C1F" w14:textId="77777777" w:rsidTr="00515F78">
        <w:trPr>
          <w:trHeight w:val="253"/>
        </w:trPr>
        <w:tc>
          <w:tcPr>
            <w:tcW w:w="1182" w:type="dxa"/>
          </w:tcPr>
          <w:p w14:paraId="5372B7B4" w14:textId="77777777" w:rsidR="00515F78" w:rsidRPr="008E4009" w:rsidRDefault="00515F78" w:rsidP="005C46F4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E4009">
              <w:rPr>
                <w:rFonts w:ascii="Times New Roman" w:hAnsi="Times New Roman" w:cs="Times New Roman"/>
                <w:b/>
                <w:color w:val="FF0000"/>
                <w:szCs w:val="24"/>
              </w:rPr>
              <w:t>525,600</w:t>
            </w:r>
          </w:p>
        </w:tc>
        <w:tc>
          <w:tcPr>
            <w:tcW w:w="1481" w:type="dxa"/>
          </w:tcPr>
          <w:p w14:paraId="72FE4AB5" w14:textId="77777777" w:rsidR="00515F78" w:rsidRPr="008E4009" w:rsidRDefault="00515F78" w:rsidP="005C46F4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E4009">
              <w:rPr>
                <w:rFonts w:ascii="Times New Roman" w:hAnsi="Times New Roman" w:cs="Times New Roman"/>
                <w:b/>
                <w:color w:val="FF0000"/>
                <w:szCs w:val="24"/>
              </w:rPr>
              <w:t>99.98%</w:t>
            </w:r>
          </w:p>
        </w:tc>
        <w:tc>
          <w:tcPr>
            <w:tcW w:w="889" w:type="dxa"/>
          </w:tcPr>
          <w:p w14:paraId="2084E530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Cost </w:t>
            </w:r>
          </w:p>
        </w:tc>
        <w:tc>
          <w:tcPr>
            <w:tcW w:w="1206" w:type="dxa"/>
            <w:gridSpan w:val="2"/>
          </w:tcPr>
          <w:p w14:paraId="2559176A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$ 35,000,000</w:t>
            </w:r>
          </w:p>
        </w:tc>
        <w:tc>
          <w:tcPr>
            <w:tcW w:w="1206" w:type="dxa"/>
            <w:gridSpan w:val="2"/>
          </w:tcPr>
          <w:p w14:paraId="65E40117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206" w:type="dxa"/>
          </w:tcPr>
          <w:p w14:paraId="770AC969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4006" w:type="dxa"/>
            <w:gridSpan w:val="2"/>
          </w:tcPr>
          <w:p w14:paraId="73DDBD39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$35,000,000</w:t>
            </w:r>
          </w:p>
        </w:tc>
      </w:tr>
      <w:tr w:rsidR="00515F78" w14:paraId="13E2BDCD" w14:textId="77777777" w:rsidTr="00515F78">
        <w:trPr>
          <w:trHeight w:val="566"/>
        </w:trPr>
        <w:tc>
          <w:tcPr>
            <w:tcW w:w="1182" w:type="dxa"/>
          </w:tcPr>
          <w:p w14:paraId="53F650D7" w14:textId="77777777" w:rsidR="00515F78" w:rsidRPr="008E4009" w:rsidRDefault="00515F78" w:rsidP="005C46F4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E4009">
              <w:rPr>
                <w:rFonts w:ascii="Times New Roman" w:hAnsi="Times New Roman" w:cs="Times New Roman"/>
                <w:b/>
                <w:color w:val="FF0000"/>
                <w:szCs w:val="24"/>
              </w:rPr>
              <w:t>Downtime</w:t>
            </w:r>
          </w:p>
        </w:tc>
        <w:tc>
          <w:tcPr>
            <w:tcW w:w="1481" w:type="dxa"/>
          </w:tcPr>
          <w:p w14:paraId="2B882F0F" w14:textId="77777777" w:rsidR="00515F78" w:rsidRPr="008E4009" w:rsidRDefault="00515F78" w:rsidP="005C46F4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8E4009">
              <w:rPr>
                <w:rFonts w:ascii="Times New Roman" w:hAnsi="Times New Roman" w:cs="Times New Roman"/>
                <w:b/>
                <w:color w:val="FF0000"/>
                <w:szCs w:val="24"/>
              </w:rPr>
              <w:t>105.12</w:t>
            </w:r>
          </w:p>
        </w:tc>
        <w:tc>
          <w:tcPr>
            <w:tcW w:w="889" w:type="dxa"/>
          </w:tcPr>
          <w:p w14:paraId="22821BF5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Benefit</w:t>
            </w:r>
          </w:p>
        </w:tc>
        <w:tc>
          <w:tcPr>
            <w:tcW w:w="1206" w:type="dxa"/>
            <w:gridSpan w:val="2"/>
          </w:tcPr>
          <w:p w14:paraId="747740BF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14:paraId="1DFBC8D0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24,114,528</w:t>
            </w:r>
          </w:p>
        </w:tc>
        <w:tc>
          <w:tcPr>
            <w:tcW w:w="1206" w:type="dxa"/>
          </w:tcPr>
          <w:p w14:paraId="5F539CEA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24,114,528</w:t>
            </w:r>
          </w:p>
        </w:tc>
        <w:tc>
          <w:tcPr>
            <w:tcW w:w="4006" w:type="dxa"/>
            <w:gridSpan w:val="2"/>
          </w:tcPr>
          <w:p w14:paraId="25B7B68B" w14:textId="77777777" w:rsidR="00515F78" w:rsidRDefault="00515F78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48,229,056</w:t>
            </w:r>
          </w:p>
        </w:tc>
      </w:tr>
      <w:tr w:rsidR="00CF7DFD" w14:paraId="11A596F4" w14:textId="77777777" w:rsidTr="00C730ED">
        <w:trPr>
          <w:trHeight w:val="359"/>
        </w:trPr>
        <w:tc>
          <w:tcPr>
            <w:tcW w:w="1182" w:type="dxa"/>
          </w:tcPr>
          <w:p w14:paraId="7C982A00" w14:textId="77777777" w:rsidR="00CF7DFD" w:rsidRPr="00CC45A0" w:rsidRDefault="00CF7DFD" w:rsidP="000A28F7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C45A0">
              <w:rPr>
                <w:rFonts w:ascii="Times New Roman" w:hAnsi="Times New Roman" w:cs="Times New Roman"/>
                <w:b/>
                <w:color w:val="FF0000"/>
                <w:szCs w:val="24"/>
              </w:rPr>
              <w:t>Total cost per year</w:t>
            </w:r>
          </w:p>
        </w:tc>
        <w:tc>
          <w:tcPr>
            <w:tcW w:w="1481" w:type="dxa"/>
          </w:tcPr>
          <w:p w14:paraId="74903B9B" w14:textId="77777777" w:rsidR="00CF7DFD" w:rsidRDefault="00CF7DFD" w:rsidP="005C46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C45A0">
              <w:rPr>
                <w:rFonts w:ascii="Times New Roman" w:hAnsi="Times New Roman" w:cs="Times New Roman"/>
                <w:b/>
                <w:color w:val="FF0000"/>
                <w:szCs w:val="24"/>
              </w:rPr>
              <w:t>14800*105.12 = 1,555,776</w:t>
            </w:r>
          </w:p>
        </w:tc>
        <w:tc>
          <w:tcPr>
            <w:tcW w:w="987" w:type="dxa"/>
            <w:gridSpan w:val="2"/>
          </w:tcPr>
          <w:p w14:paraId="5C4BA204" w14:textId="77777777" w:rsidR="00CF7DFD" w:rsidRPr="000A28F7" w:rsidRDefault="00CF7DFD" w:rsidP="005C46F4">
            <w:pPr>
              <w:rPr>
                <w:rFonts w:ascii="Times New Roman" w:hAnsi="Times New Roman" w:cs="Times New Roman"/>
                <w:b/>
                <w:color w:val="5B9BD5" w:themeColor="accen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Cs w:val="24"/>
              </w:rPr>
              <w:t>Amount saved</w:t>
            </w:r>
          </w:p>
        </w:tc>
        <w:tc>
          <w:tcPr>
            <w:tcW w:w="1481" w:type="dxa"/>
            <w:gridSpan w:val="2"/>
          </w:tcPr>
          <w:p w14:paraId="5C936545" w14:textId="77777777" w:rsidR="00CF7DFD" w:rsidRPr="00CC45A0" w:rsidRDefault="00CF7DFD" w:rsidP="005C46F4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A28F7">
              <w:rPr>
                <w:rFonts w:ascii="Times New Roman" w:hAnsi="Times New Roman" w:cs="Times New Roman"/>
                <w:b/>
                <w:color w:val="5B9BD5" w:themeColor="accent1"/>
                <w:szCs w:val="24"/>
              </w:rPr>
              <w:t>25,670,304.00 – 1,555,776.00</w:t>
            </w:r>
            <w:r>
              <w:rPr>
                <w:rFonts w:ascii="Times New Roman" w:hAnsi="Times New Roman" w:cs="Times New Roman"/>
                <w:b/>
                <w:color w:val="5B9BD5" w:themeColor="accent1"/>
                <w:szCs w:val="24"/>
              </w:rPr>
              <w:t xml:space="preserve"> = 24,114,528</w:t>
            </w:r>
          </w:p>
        </w:tc>
        <w:tc>
          <w:tcPr>
            <w:tcW w:w="2076" w:type="dxa"/>
            <w:gridSpan w:val="3"/>
          </w:tcPr>
          <w:p w14:paraId="1DA0DE89" w14:textId="77777777" w:rsidR="00CF7DFD" w:rsidRPr="000A28F7" w:rsidRDefault="00CF7DFD" w:rsidP="005C46F4">
            <w:pPr>
              <w:rPr>
                <w:rFonts w:ascii="Times New Roman" w:hAnsi="Times New Roman" w:cs="Times New Roman"/>
                <w:b/>
                <w:color w:val="5B9BD5" w:themeColor="accent1"/>
                <w:szCs w:val="24"/>
              </w:rPr>
            </w:pPr>
            <w:r w:rsidRPr="00CF7DF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Total SAVINGS</w:t>
            </w:r>
          </w:p>
        </w:tc>
        <w:tc>
          <w:tcPr>
            <w:tcW w:w="3969" w:type="dxa"/>
          </w:tcPr>
          <w:p w14:paraId="3F85F8C6" w14:textId="77777777" w:rsidR="00CF7DFD" w:rsidRPr="000A28F7" w:rsidRDefault="00CF7DFD" w:rsidP="005C46F4">
            <w:pPr>
              <w:rPr>
                <w:rFonts w:ascii="Times New Roman" w:hAnsi="Times New Roman" w:cs="Times New Roman"/>
                <w:b/>
                <w:color w:val="5B9BD5" w:themeColor="accent1"/>
                <w:szCs w:val="24"/>
              </w:rPr>
            </w:pPr>
            <w:r w:rsidRPr="00515F7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$ 13,229,056</w:t>
            </w:r>
          </w:p>
        </w:tc>
      </w:tr>
    </w:tbl>
    <w:p w14:paraId="189CCC02" w14:textId="77777777" w:rsidR="00E1374F" w:rsidRDefault="00515F78" w:rsidP="005C46F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524B3980" w14:textId="77777777" w:rsidR="005C46F4" w:rsidRDefault="00393125" w:rsidP="005C46F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Works cite</w:t>
      </w:r>
      <w:r w:rsidR="008979A5">
        <w:rPr>
          <w:rFonts w:ascii="Times New Roman" w:hAnsi="Times New Roman" w:cs="Times New Roman"/>
          <w:b/>
          <w:szCs w:val="24"/>
        </w:rPr>
        <w:t>d</w:t>
      </w:r>
    </w:p>
    <w:p w14:paraId="2AE9B5FF" w14:textId="77777777" w:rsidR="004311D3" w:rsidRDefault="004311D3" w:rsidP="004311D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Data Center Tiers Explained. (</w:t>
      </w:r>
      <w:proofErr w:type="spellStart"/>
      <w:r>
        <w:rPr>
          <w:color w:val="333333"/>
          <w:shd w:val="clear" w:color="auto" w:fill="FFFFFF"/>
        </w:rPr>
        <w:t>n.d.</w:t>
      </w:r>
      <w:proofErr w:type="spellEnd"/>
      <w:r>
        <w:rPr>
          <w:color w:val="333333"/>
          <w:shd w:val="clear" w:color="auto" w:fill="FFFFFF"/>
        </w:rPr>
        <w:t xml:space="preserve">). Retrieved February 12, 2018, from </w:t>
      </w:r>
      <w:hyperlink r:id="rId6" w:history="1">
        <w:r w:rsidRPr="000826BD">
          <w:rPr>
            <w:rStyle w:val="Hyperlink"/>
            <w:shd w:val="clear" w:color="auto" w:fill="FFFFFF"/>
          </w:rPr>
          <w:t>https://www.thedatacave.com/data-center-tiers-explained</w:t>
        </w:r>
      </w:hyperlink>
    </w:p>
    <w:p w14:paraId="62F7D0F3" w14:textId="77777777" w:rsidR="00572DCA" w:rsidRDefault="00572DCA" w:rsidP="004311D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Data Centre </w:t>
      </w:r>
      <w:proofErr w:type="spellStart"/>
      <w:r>
        <w:rPr>
          <w:color w:val="333333"/>
          <w:shd w:val="clear" w:color="auto" w:fill="FFFFFF"/>
        </w:rPr>
        <w:t>Tiering</w:t>
      </w:r>
      <w:proofErr w:type="spellEnd"/>
      <w:r>
        <w:rPr>
          <w:color w:val="333333"/>
          <w:shd w:val="clear" w:color="auto" w:fill="FFFFFF"/>
        </w:rPr>
        <w:t>. (</w:t>
      </w:r>
      <w:proofErr w:type="spellStart"/>
      <w:r>
        <w:rPr>
          <w:color w:val="333333"/>
          <w:shd w:val="clear" w:color="auto" w:fill="FFFFFF"/>
        </w:rPr>
        <w:t>n.d.</w:t>
      </w:r>
      <w:proofErr w:type="spellEnd"/>
      <w:r>
        <w:rPr>
          <w:color w:val="333333"/>
          <w:shd w:val="clear" w:color="auto" w:fill="FFFFFF"/>
        </w:rPr>
        <w:t xml:space="preserve">). Retrieved February 12, 2018, from </w:t>
      </w:r>
    </w:p>
    <w:p w14:paraId="5817E7E5" w14:textId="77777777" w:rsidR="00572DCA" w:rsidRDefault="00F819FA" w:rsidP="004311D3">
      <w:pPr>
        <w:rPr>
          <w:color w:val="333333"/>
          <w:shd w:val="clear" w:color="auto" w:fill="FFFFFF"/>
        </w:rPr>
      </w:pPr>
      <w:hyperlink r:id="rId7" w:history="1">
        <w:r w:rsidR="00572DCA" w:rsidRPr="000826BD">
          <w:rPr>
            <w:rStyle w:val="Hyperlink"/>
            <w:shd w:val="clear" w:color="auto" w:fill="FFFFFF"/>
          </w:rPr>
          <w:t>https://www.coreix.net/resources/data-centre-faqs/data-centre-tiering/</w:t>
        </w:r>
      </w:hyperlink>
    </w:p>
    <w:p w14:paraId="2828326E" w14:textId="77777777" w:rsidR="00C51F64" w:rsidRDefault="00C51F64" w:rsidP="004311D3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Staff, C. A. (2017, November 28). Data Center Tier Rating Breakdown - Tier 1, 2, 3, 4 - CLA. Retrieved February 12, 2018, from </w:t>
      </w:r>
      <w:hyperlink r:id="rId8" w:history="1">
        <w:r w:rsidRPr="000826BD">
          <w:rPr>
            <w:rStyle w:val="Hyperlink"/>
            <w:shd w:val="clear" w:color="auto" w:fill="FFFFFF"/>
          </w:rPr>
          <w:t>https://www.colocationamerica.com/data-center/tier-standards-overview.htm</w:t>
        </w:r>
      </w:hyperlink>
    </w:p>
    <w:p w14:paraId="29237191" w14:textId="77777777" w:rsidR="00C51F64" w:rsidRDefault="00C51F64" w:rsidP="004311D3">
      <w:pPr>
        <w:rPr>
          <w:color w:val="333333"/>
          <w:shd w:val="clear" w:color="auto" w:fill="FFFFFF"/>
        </w:rPr>
      </w:pPr>
    </w:p>
    <w:p w14:paraId="4FC885B7" w14:textId="77777777" w:rsidR="00572DCA" w:rsidRDefault="00572DCA" w:rsidP="004311D3">
      <w:pPr>
        <w:rPr>
          <w:color w:val="333333"/>
          <w:shd w:val="clear" w:color="auto" w:fill="FFFFFF"/>
        </w:rPr>
      </w:pPr>
    </w:p>
    <w:p w14:paraId="5ABEA69B" w14:textId="77777777" w:rsidR="004311D3" w:rsidRDefault="004311D3" w:rsidP="004311D3"/>
    <w:sectPr w:rsidR="0043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6205"/>
    <w:multiLevelType w:val="hybridMultilevel"/>
    <w:tmpl w:val="507E791A"/>
    <w:lvl w:ilvl="0" w:tplc="5524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25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0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4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1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A"/>
    <w:rsid w:val="000016CB"/>
    <w:rsid w:val="00021B8A"/>
    <w:rsid w:val="00046592"/>
    <w:rsid w:val="00047347"/>
    <w:rsid w:val="000A28F7"/>
    <w:rsid w:val="000A5010"/>
    <w:rsid w:val="001B4A5D"/>
    <w:rsid w:val="002C09AC"/>
    <w:rsid w:val="0032260D"/>
    <w:rsid w:val="00337FB4"/>
    <w:rsid w:val="00346318"/>
    <w:rsid w:val="003830A4"/>
    <w:rsid w:val="00393125"/>
    <w:rsid w:val="004311D3"/>
    <w:rsid w:val="00481DA4"/>
    <w:rsid w:val="00494B5F"/>
    <w:rsid w:val="004B23E1"/>
    <w:rsid w:val="00515F78"/>
    <w:rsid w:val="00530903"/>
    <w:rsid w:val="005454B9"/>
    <w:rsid w:val="00572DCA"/>
    <w:rsid w:val="005A535F"/>
    <w:rsid w:val="005C46F4"/>
    <w:rsid w:val="006B5CE1"/>
    <w:rsid w:val="006F69A1"/>
    <w:rsid w:val="0074705E"/>
    <w:rsid w:val="00792B89"/>
    <w:rsid w:val="007B1548"/>
    <w:rsid w:val="008979A5"/>
    <w:rsid w:val="008E4009"/>
    <w:rsid w:val="00972DED"/>
    <w:rsid w:val="0098091D"/>
    <w:rsid w:val="00993D1A"/>
    <w:rsid w:val="009B3E6E"/>
    <w:rsid w:val="009E67CA"/>
    <w:rsid w:val="00A062DF"/>
    <w:rsid w:val="00A21DBB"/>
    <w:rsid w:val="00A6315E"/>
    <w:rsid w:val="00AA2011"/>
    <w:rsid w:val="00AC5771"/>
    <w:rsid w:val="00AE1A7F"/>
    <w:rsid w:val="00AF7A46"/>
    <w:rsid w:val="00B308E7"/>
    <w:rsid w:val="00B32D3F"/>
    <w:rsid w:val="00C51F64"/>
    <w:rsid w:val="00C63B73"/>
    <w:rsid w:val="00C81FAA"/>
    <w:rsid w:val="00C94690"/>
    <w:rsid w:val="00CC45A0"/>
    <w:rsid w:val="00CD20C3"/>
    <w:rsid w:val="00CD5FA8"/>
    <w:rsid w:val="00CF7DFD"/>
    <w:rsid w:val="00D21736"/>
    <w:rsid w:val="00D364E1"/>
    <w:rsid w:val="00D65DA5"/>
    <w:rsid w:val="00D74857"/>
    <w:rsid w:val="00D8033F"/>
    <w:rsid w:val="00D86EAA"/>
    <w:rsid w:val="00D94AF7"/>
    <w:rsid w:val="00DB38A1"/>
    <w:rsid w:val="00DC414E"/>
    <w:rsid w:val="00DF58EA"/>
    <w:rsid w:val="00E1374F"/>
    <w:rsid w:val="00F10079"/>
    <w:rsid w:val="00F8098A"/>
    <w:rsid w:val="00F819FA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47F4"/>
  <w15:chartTrackingRefBased/>
  <w15:docId w15:val="{9727E178-6994-4909-892D-9DC5D23F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datacave.com/data-center-tiers-explained" TargetMode="External"/><Relationship Id="rId7" Type="http://schemas.openxmlformats.org/officeDocument/2006/relationships/hyperlink" Target="https://www.coreix.net/resources/data-centre-faqs/data-centre-tiering/" TargetMode="External"/><Relationship Id="rId8" Type="http://schemas.openxmlformats.org/officeDocument/2006/relationships/hyperlink" Target="https://www.colocationamerica.com/data-center/tier-standards-overview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8149AE-B14F-984A-B096-4713A281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Mojahed Ibrahim</dc:creator>
  <cp:keywords/>
  <dc:description/>
  <cp:lastModifiedBy>Mojahed Ibrahim</cp:lastModifiedBy>
  <cp:revision>4</cp:revision>
  <cp:lastPrinted>2018-02-12T23:21:00Z</cp:lastPrinted>
  <dcterms:created xsi:type="dcterms:W3CDTF">2018-04-26T03:46:00Z</dcterms:created>
  <dcterms:modified xsi:type="dcterms:W3CDTF">2018-04-26T03:47:00Z</dcterms:modified>
</cp:coreProperties>
</file>