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CC" w:rsidRPr="008966B4" w:rsidRDefault="00270BCC" w:rsidP="00270BCC">
      <w:pPr>
        <w:jc w:val="center"/>
        <w:rPr>
          <w:rFonts w:ascii="Calibri" w:hAnsi="Calibri"/>
          <w:b/>
          <w:sz w:val="32"/>
          <w:szCs w:val="28"/>
        </w:rPr>
      </w:pPr>
      <w:r w:rsidRPr="008966B4">
        <w:rPr>
          <w:rFonts w:ascii="Calibri" w:hAnsi="Calibri"/>
          <w:b/>
          <w:sz w:val="32"/>
          <w:szCs w:val="28"/>
        </w:rPr>
        <w:t>Assignment #10 – SAS #4: Association Rules</w:t>
      </w:r>
      <w:bookmarkStart w:id="0" w:name="_GoBack"/>
      <w:bookmarkEnd w:id="0"/>
    </w:p>
    <w:p w:rsidR="00610175" w:rsidRPr="00C051E9" w:rsidRDefault="00610175" w:rsidP="00C051E9">
      <w:pPr>
        <w:jc w:val="center"/>
        <w:rPr>
          <w:b/>
          <w:sz w:val="28"/>
          <w:szCs w:val="28"/>
        </w:rPr>
      </w:pPr>
    </w:p>
    <w:p w:rsidR="00610175" w:rsidRDefault="00610175" w:rsidP="00610175">
      <w:pPr>
        <w:rPr>
          <w:b/>
          <w:sz w:val="24"/>
        </w:rPr>
      </w:pPr>
      <w:r w:rsidRPr="000E659F">
        <w:rPr>
          <w:b/>
          <w:sz w:val="24"/>
        </w:rPr>
        <w:t>NAME: _______________________________________</w:t>
      </w:r>
    </w:p>
    <w:p w:rsidR="00610175" w:rsidRPr="00617718" w:rsidRDefault="00610175" w:rsidP="0061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i/>
        </w:rPr>
      </w:pPr>
      <w:r w:rsidRPr="00617718">
        <w:rPr>
          <w:b/>
          <w:i/>
        </w:rPr>
        <w:t>Instructions: Follow the steps and answer the questions below. Then email this document to your instructor.</w:t>
      </w:r>
    </w:p>
    <w:p w:rsidR="00C051E9" w:rsidRPr="00C051E9" w:rsidRDefault="00C051E9" w:rsidP="00C051E9">
      <w:pPr>
        <w:jc w:val="center"/>
        <w:rPr>
          <w:b/>
        </w:rPr>
      </w:pPr>
    </w:p>
    <w:p w:rsidR="00C051E9" w:rsidRPr="00A85111" w:rsidRDefault="00C051E9" w:rsidP="00C051E9">
      <w:pPr>
        <w:pStyle w:val="NumberingExercise"/>
        <w:numPr>
          <w:ilvl w:val="0"/>
          <w:numId w:val="5"/>
        </w:numPr>
        <w:rPr>
          <w:b/>
        </w:rPr>
      </w:pPr>
      <w:r w:rsidRPr="00A85111">
        <w:rPr>
          <w:b/>
        </w:rPr>
        <w:t>Conducting an Association Analysis</w:t>
      </w:r>
    </w:p>
    <w:p w:rsidR="00C051E9" w:rsidRDefault="00C051E9" w:rsidP="00C051E9">
      <w:pPr>
        <w:pStyle w:val="NumberingExercise"/>
        <w:numPr>
          <w:ilvl w:val="0"/>
          <w:numId w:val="0"/>
        </w:numPr>
        <w:ind w:left="360"/>
      </w:pPr>
      <w:r>
        <w:t xml:space="preserve">A store is interested in determining the associations between items purchased from the Health and Beauty Aids department and the Stationery Department. The store chose to conduct a market basket analysis of specific items purchased from these two departments. The </w:t>
      </w:r>
      <w:r w:rsidR="009B1A75">
        <w:rPr>
          <w:rFonts w:ascii="Courier New" w:hAnsi="Courier New"/>
          <w:b/>
          <w:kern w:val="0"/>
        </w:rPr>
        <w:t>TRANSACTIONS</w:t>
      </w:r>
      <w:r w:rsidR="009B1A75">
        <w:t xml:space="preserve"> </w:t>
      </w:r>
      <w:r>
        <w:t>data set contains information about over 400,000 transactions made over the past three months. The following products are represented in the data set:</w:t>
      </w:r>
    </w:p>
    <w:p w:rsidR="00D371F0" w:rsidRDefault="00D371F0" w:rsidP="00FC684E">
      <w:pPr>
        <w:pStyle w:val="BulletedNormal"/>
        <w:numPr>
          <w:ilvl w:val="0"/>
          <w:numId w:val="0"/>
        </w:numPr>
        <w:ind w:left="216" w:hanging="216"/>
      </w:pPr>
    </w:p>
    <w:p w:rsidR="00FC684E" w:rsidRPr="00FC684E" w:rsidRDefault="00FC684E" w:rsidP="00FC684E">
      <w:pPr>
        <w:sectPr w:rsidR="00FC684E" w:rsidRPr="00FC684E" w:rsidSect="00FC47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lastRenderedPageBreak/>
        <w:t>bar soap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bows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candy bars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deodorant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greeting cards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magazines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lastRenderedPageBreak/>
        <w:t>markers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pain relievers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pencils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pens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perfume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photo processing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lastRenderedPageBreak/>
        <w:t>prescription medications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shampoo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toothbrushes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toothpaste</w:t>
      </w:r>
    </w:p>
    <w:p w:rsidR="00C051E9" w:rsidRDefault="00C051E9" w:rsidP="00FC684E">
      <w:pPr>
        <w:pStyle w:val="BulletedNormal"/>
        <w:numPr>
          <w:ilvl w:val="0"/>
          <w:numId w:val="6"/>
        </w:numPr>
      </w:pPr>
      <w:r>
        <w:t>wrapping paper</w:t>
      </w:r>
    </w:p>
    <w:p w:rsidR="00D371F0" w:rsidRDefault="00D371F0" w:rsidP="00C051E9">
      <w:pPr>
        <w:pStyle w:val="NumberingExercise"/>
        <w:keepNext/>
        <w:keepLines/>
        <w:numPr>
          <w:ilvl w:val="0"/>
          <w:numId w:val="0"/>
        </w:numPr>
        <w:ind w:left="360"/>
        <w:sectPr w:rsidR="00D371F0" w:rsidSect="00FC684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371F0" w:rsidRDefault="00D371F0" w:rsidP="00C051E9">
      <w:pPr>
        <w:pStyle w:val="NumberingExercise"/>
        <w:keepNext/>
        <w:keepLines/>
        <w:numPr>
          <w:ilvl w:val="0"/>
          <w:numId w:val="0"/>
        </w:numPr>
        <w:ind w:left="360"/>
      </w:pPr>
    </w:p>
    <w:p w:rsidR="00C051E9" w:rsidRDefault="00C051E9" w:rsidP="00C051E9">
      <w:pPr>
        <w:pStyle w:val="NumberingExercise"/>
        <w:keepNext/>
        <w:keepLines/>
        <w:numPr>
          <w:ilvl w:val="0"/>
          <w:numId w:val="0"/>
        </w:numPr>
        <w:ind w:left="360"/>
      </w:pPr>
      <w:r>
        <w:t>There are four variables in the data set:</w:t>
      </w:r>
    </w:p>
    <w:tbl>
      <w:tblPr>
        <w:tblW w:w="0" w:type="auto"/>
        <w:tblInd w:w="5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000000" w:fill="000000"/>
        <w:tblLayout w:type="fixed"/>
        <w:tblLook w:val="0000" w:firstRow="0" w:lastRow="0" w:firstColumn="0" w:lastColumn="0" w:noHBand="0" w:noVBand="0"/>
      </w:tblPr>
      <w:tblGrid>
        <w:gridCol w:w="1818"/>
        <w:gridCol w:w="1296"/>
        <w:gridCol w:w="1800"/>
        <w:gridCol w:w="3636"/>
      </w:tblGrid>
      <w:tr w:rsidR="00C051E9" w:rsidRPr="0033347C" w:rsidTr="0024720C">
        <w:tc>
          <w:tcPr>
            <w:tcW w:w="1818" w:type="dxa"/>
            <w:shd w:val="clear" w:color="000000" w:fill="000000"/>
          </w:tcPr>
          <w:p w:rsidR="00C051E9" w:rsidRPr="0033347C" w:rsidRDefault="00C051E9" w:rsidP="0024720C">
            <w:pPr>
              <w:keepNext/>
              <w:keepLines/>
              <w:jc w:val="center"/>
              <w:rPr>
                <w:b/>
                <w:color w:val="FFFFFF"/>
              </w:rPr>
            </w:pPr>
            <w:r w:rsidRPr="0033347C">
              <w:rPr>
                <w:b/>
                <w:color w:val="FFFFFF"/>
              </w:rPr>
              <w:t>Name</w:t>
            </w:r>
          </w:p>
        </w:tc>
        <w:tc>
          <w:tcPr>
            <w:tcW w:w="1296" w:type="dxa"/>
            <w:shd w:val="clear" w:color="000000" w:fill="000000"/>
          </w:tcPr>
          <w:p w:rsidR="00C051E9" w:rsidRPr="0033347C" w:rsidRDefault="00C051E9" w:rsidP="0024720C">
            <w:pPr>
              <w:keepNext/>
              <w:keepLines/>
              <w:jc w:val="center"/>
              <w:rPr>
                <w:b/>
                <w:color w:val="FFFFFF"/>
              </w:rPr>
            </w:pPr>
            <w:r w:rsidRPr="0033347C">
              <w:rPr>
                <w:b/>
                <w:color w:val="FFFFFF"/>
              </w:rPr>
              <w:t>Model Role</w:t>
            </w:r>
          </w:p>
        </w:tc>
        <w:tc>
          <w:tcPr>
            <w:tcW w:w="1800" w:type="dxa"/>
            <w:shd w:val="clear" w:color="000000" w:fill="000000"/>
          </w:tcPr>
          <w:p w:rsidR="00C051E9" w:rsidRPr="0033347C" w:rsidRDefault="00C051E9" w:rsidP="0024720C">
            <w:pPr>
              <w:keepNext/>
              <w:keepLines/>
              <w:jc w:val="center"/>
              <w:rPr>
                <w:b/>
                <w:color w:val="FFFFFF"/>
              </w:rPr>
            </w:pPr>
            <w:r w:rsidRPr="0033347C">
              <w:rPr>
                <w:b/>
                <w:color w:val="FFFFFF"/>
              </w:rPr>
              <w:t>Measurement Level</w:t>
            </w:r>
          </w:p>
        </w:tc>
        <w:tc>
          <w:tcPr>
            <w:tcW w:w="3636" w:type="dxa"/>
            <w:shd w:val="clear" w:color="000000" w:fill="000000"/>
          </w:tcPr>
          <w:p w:rsidR="00C051E9" w:rsidRPr="0033347C" w:rsidRDefault="00C051E9" w:rsidP="0024720C">
            <w:pPr>
              <w:keepNext/>
              <w:keepLines/>
              <w:jc w:val="center"/>
              <w:rPr>
                <w:b/>
                <w:color w:val="FFFFFF"/>
              </w:rPr>
            </w:pPr>
            <w:r w:rsidRPr="0033347C">
              <w:rPr>
                <w:b/>
                <w:color w:val="FFFFFF"/>
              </w:rPr>
              <w:t>Description</w:t>
            </w:r>
          </w:p>
        </w:tc>
      </w:tr>
      <w:tr w:rsidR="00C051E9" w:rsidRPr="0033347C" w:rsidTr="0024720C">
        <w:tc>
          <w:tcPr>
            <w:tcW w:w="1818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rFonts w:ascii="Courier New" w:hAnsi="Courier New" w:cs="Courier New"/>
                <w:b/>
                <w:kern w:val="0"/>
              </w:rPr>
            </w:pPr>
            <w:r w:rsidRPr="0033347C">
              <w:rPr>
                <w:rFonts w:ascii="Courier New" w:hAnsi="Courier New" w:cs="Courier New"/>
                <w:b/>
                <w:kern w:val="0"/>
              </w:rPr>
              <w:t>STORE</w:t>
            </w:r>
          </w:p>
        </w:tc>
        <w:tc>
          <w:tcPr>
            <w:tcW w:w="1296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Rejected</w:t>
            </w:r>
          </w:p>
        </w:tc>
        <w:tc>
          <w:tcPr>
            <w:tcW w:w="1800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Nominal</w:t>
            </w:r>
          </w:p>
        </w:tc>
        <w:tc>
          <w:tcPr>
            <w:tcW w:w="3636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Identification number of the store</w:t>
            </w:r>
          </w:p>
        </w:tc>
      </w:tr>
      <w:tr w:rsidR="00C051E9" w:rsidRPr="0033347C" w:rsidTr="0024720C">
        <w:tc>
          <w:tcPr>
            <w:tcW w:w="1818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rFonts w:ascii="Courier New" w:hAnsi="Courier New" w:cs="Courier New"/>
                <w:b/>
                <w:kern w:val="0"/>
              </w:rPr>
            </w:pPr>
            <w:r w:rsidRPr="0033347C">
              <w:rPr>
                <w:rFonts w:ascii="Courier New" w:hAnsi="Courier New" w:cs="Courier New"/>
                <w:b/>
                <w:kern w:val="0"/>
              </w:rPr>
              <w:t>TRANSACTION</w:t>
            </w:r>
          </w:p>
        </w:tc>
        <w:tc>
          <w:tcPr>
            <w:tcW w:w="1296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ID</w:t>
            </w:r>
          </w:p>
        </w:tc>
        <w:tc>
          <w:tcPr>
            <w:tcW w:w="1800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Nominal</w:t>
            </w:r>
          </w:p>
        </w:tc>
        <w:tc>
          <w:tcPr>
            <w:tcW w:w="3636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Transaction identification number</w:t>
            </w:r>
          </w:p>
        </w:tc>
      </w:tr>
      <w:tr w:rsidR="00C051E9" w:rsidRPr="0033347C" w:rsidTr="0024720C">
        <w:tc>
          <w:tcPr>
            <w:tcW w:w="1818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rFonts w:ascii="Courier New" w:hAnsi="Courier New" w:cs="Courier New"/>
                <w:b/>
                <w:kern w:val="0"/>
              </w:rPr>
            </w:pPr>
            <w:r w:rsidRPr="0033347C">
              <w:rPr>
                <w:rFonts w:ascii="Courier New" w:hAnsi="Courier New" w:cs="Courier New"/>
                <w:b/>
                <w:kern w:val="0"/>
              </w:rPr>
              <w:t>PRODUCT</w:t>
            </w:r>
          </w:p>
        </w:tc>
        <w:tc>
          <w:tcPr>
            <w:tcW w:w="1296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Target</w:t>
            </w:r>
          </w:p>
        </w:tc>
        <w:tc>
          <w:tcPr>
            <w:tcW w:w="1800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Nominal</w:t>
            </w:r>
          </w:p>
        </w:tc>
        <w:tc>
          <w:tcPr>
            <w:tcW w:w="3636" w:type="dxa"/>
            <w:shd w:val="clear" w:color="000000" w:fill="F3F3F3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Product purchased</w:t>
            </w:r>
          </w:p>
        </w:tc>
      </w:tr>
      <w:tr w:rsidR="00C051E9" w:rsidRPr="0033347C" w:rsidTr="0024720C">
        <w:tc>
          <w:tcPr>
            <w:tcW w:w="1818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rFonts w:ascii="Courier New" w:hAnsi="Courier New" w:cs="Courier New"/>
                <w:b/>
                <w:kern w:val="0"/>
              </w:rPr>
            </w:pPr>
            <w:r w:rsidRPr="0033347C">
              <w:rPr>
                <w:rFonts w:ascii="Courier New" w:hAnsi="Courier New" w:cs="Courier New"/>
                <w:b/>
                <w:kern w:val="0"/>
              </w:rPr>
              <w:t>QUANTITY</w:t>
            </w:r>
          </w:p>
        </w:tc>
        <w:tc>
          <w:tcPr>
            <w:tcW w:w="1296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Rejected</w:t>
            </w:r>
          </w:p>
        </w:tc>
        <w:tc>
          <w:tcPr>
            <w:tcW w:w="1800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Interval</w:t>
            </w:r>
          </w:p>
        </w:tc>
        <w:tc>
          <w:tcPr>
            <w:tcW w:w="3636" w:type="dxa"/>
            <w:shd w:val="clear" w:color="000000" w:fill="CCCCCC"/>
          </w:tcPr>
          <w:p w:rsidR="00C051E9" w:rsidRPr="0033347C" w:rsidRDefault="00C051E9" w:rsidP="0024720C">
            <w:pPr>
              <w:keepNext/>
              <w:keepLines/>
              <w:rPr>
                <w:color w:val="000000"/>
              </w:rPr>
            </w:pPr>
            <w:r w:rsidRPr="0033347C">
              <w:rPr>
                <w:color w:val="000000"/>
              </w:rPr>
              <w:t>Quantity of this product purchased</w:t>
            </w:r>
          </w:p>
        </w:tc>
      </w:tr>
    </w:tbl>
    <w:p w:rsidR="00C051E9" w:rsidRDefault="00C051E9" w:rsidP="00C051E9">
      <w:pPr>
        <w:pStyle w:val="NumberingExercise"/>
        <w:keepNext/>
        <w:keepLines/>
        <w:numPr>
          <w:ilvl w:val="1"/>
          <w:numId w:val="4"/>
        </w:numPr>
      </w:pPr>
      <w:r>
        <w:t xml:space="preserve">Create a new diagram. Name the diagram </w:t>
      </w:r>
      <w:r>
        <w:rPr>
          <w:rFonts w:ascii="Courier New" w:hAnsi="Courier New"/>
          <w:b/>
          <w:kern w:val="0"/>
        </w:rPr>
        <w:t>Transactions</w:t>
      </w:r>
      <w:r>
        <w:t>.</w:t>
      </w:r>
    </w:p>
    <w:p w:rsidR="00FC684E" w:rsidRDefault="00C051E9" w:rsidP="00FC684E">
      <w:pPr>
        <w:pStyle w:val="NumberingExercise"/>
        <w:keepNext/>
        <w:keepLines/>
        <w:numPr>
          <w:ilvl w:val="1"/>
          <w:numId w:val="2"/>
        </w:numPr>
      </w:pPr>
      <w:r>
        <w:t xml:space="preserve">Create a new data source using the data set </w:t>
      </w:r>
      <w:r w:rsidRPr="00D371F0">
        <w:rPr>
          <w:rFonts w:ascii="Courier New" w:hAnsi="Courier New" w:cs="Courier New"/>
          <w:b/>
          <w:kern w:val="0"/>
        </w:rPr>
        <w:t>AAEM.</w:t>
      </w:r>
      <w:r w:rsidRPr="00D371F0">
        <w:rPr>
          <w:rFonts w:ascii="Courier New" w:hAnsi="Courier New"/>
          <w:b/>
          <w:kern w:val="0"/>
        </w:rPr>
        <w:t>TRANSACTIONS</w:t>
      </w:r>
      <w:r>
        <w:t>.</w:t>
      </w:r>
      <w:r w:rsidR="00D371F0">
        <w:t xml:space="preserve"> </w:t>
      </w:r>
    </w:p>
    <w:p w:rsidR="00C051E9" w:rsidRDefault="00785E9D" w:rsidP="00FC684E">
      <w:pPr>
        <w:pStyle w:val="NumberingExercise"/>
        <w:keepNext/>
        <w:keepLines/>
        <w:numPr>
          <w:ilvl w:val="2"/>
          <w:numId w:val="2"/>
        </w:numPr>
      </w:pPr>
      <w:r>
        <w:t xml:space="preserve">At </w:t>
      </w:r>
      <w:r w:rsidR="00D371F0">
        <w:t>step 6, a</w:t>
      </w:r>
      <w:r w:rsidR="00C051E9">
        <w:t xml:space="preserve">ssign the variables </w:t>
      </w:r>
      <w:r w:rsidR="00C051E9" w:rsidRPr="00D371F0">
        <w:rPr>
          <w:rFonts w:ascii="Courier New" w:hAnsi="Courier New"/>
          <w:b/>
          <w:kern w:val="0"/>
        </w:rPr>
        <w:t>STORE</w:t>
      </w:r>
      <w:r w:rsidR="00C051E9">
        <w:t xml:space="preserve"> and </w:t>
      </w:r>
      <w:r w:rsidR="00C051E9" w:rsidRPr="00D371F0">
        <w:rPr>
          <w:rFonts w:ascii="Courier New" w:hAnsi="Courier New"/>
          <w:b/>
          <w:kern w:val="0"/>
        </w:rPr>
        <w:t>QUANTITY</w:t>
      </w:r>
      <w:r w:rsidR="00C051E9">
        <w:t xml:space="preserve"> the model role </w:t>
      </w:r>
      <w:r w:rsidR="00C051E9" w:rsidRPr="00395FF4">
        <w:rPr>
          <w:rFonts w:ascii="Courier New" w:hAnsi="Courier New"/>
          <w:b/>
          <w:kern w:val="0"/>
        </w:rPr>
        <w:t>Rejected</w:t>
      </w:r>
      <w:r w:rsidR="00C051E9">
        <w:t xml:space="preserve">. These variables will not be used in this analysis. Assign the </w:t>
      </w:r>
      <w:r w:rsidR="00C051E9" w:rsidRPr="008D68FD">
        <w:t>ID</w:t>
      </w:r>
      <w:r w:rsidR="00C051E9">
        <w:t xml:space="preserve"> model role to the variable </w:t>
      </w:r>
      <w:r w:rsidR="00C051E9" w:rsidRPr="00D371F0">
        <w:rPr>
          <w:rFonts w:ascii="Courier New" w:hAnsi="Courier New"/>
          <w:b/>
          <w:kern w:val="0"/>
        </w:rPr>
        <w:t>TRANSACTION</w:t>
      </w:r>
      <w:r w:rsidR="00C051E9">
        <w:t xml:space="preserve"> and the </w:t>
      </w:r>
      <w:r w:rsidR="00C051E9" w:rsidRPr="008D68FD">
        <w:t>Target</w:t>
      </w:r>
      <w:r w:rsidR="00C051E9">
        <w:t xml:space="preserve"> model role to the variable </w:t>
      </w:r>
      <w:r w:rsidR="00C051E9" w:rsidRPr="00D371F0">
        <w:rPr>
          <w:rFonts w:ascii="Courier New" w:hAnsi="Courier New"/>
          <w:b/>
          <w:kern w:val="0"/>
        </w:rPr>
        <w:t>PRODUCT</w:t>
      </w:r>
      <w:r w:rsidR="00C051E9">
        <w:t>.</w:t>
      </w:r>
      <w:r w:rsidR="00F01755">
        <w:t xml:space="preserve"> Make sure that both TRANSACTION</w:t>
      </w:r>
      <w:r w:rsidR="00225377">
        <w:t>,</w:t>
      </w:r>
      <w:r w:rsidR="00F01755">
        <w:t xml:space="preserve"> PRODUCT</w:t>
      </w:r>
      <w:r w:rsidR="00225377">
        <w:t>, and STORE</w:t>
      </w:r>
      <w:r w:rsidR="00F01755">
        <w:t xml:space="preserve"> are set to Nominal for Measurement Level.</w:t>
      </w:r>
      <w:r w:rsidR="003360A3">
        <w:br/>
      </w:r>
      <w:r w:rsidR="003360A3" w:rsidRPr="003360A3">
        <w:rPr>
          <w:b/>
        </w:rPr>
        <w:t>(BE CAREFUL HERE! MAKE SURE THE SETTINGS MATCH THE TABLE ABOVE!)</w:t>
      </w:r>
      <w:r w:rsidR="003360A3">
        <w:t xml:space="preserve"> </w:t>
      </w:r>
    </w:p>
    <w:p w:rsidR="00FC684E" w:rsidRDefault="00FC684E" w:rsidP="00FC684E">
      <w:pPr>
        <w:pStyle w:val="NumberingExercise"/>
        <w:keepNext/>
        <w:keepLines/>
        <w:numPr>
          <w:ilvl w:val="2"/>
          <w:numId w:val="2"/>
        </w:numPr>
      </w:pPr>
      <w:r>
        <w:t xml:space="preserve">On step </w:t>
      </w:r>
      <w:r w:rsidR="001E63B1">
        <w:t>9</w:t>
      </w:r>
      <w:r>
        <w:t>, make sure the role is set to Transaction.</w:t>
      </w:r>
    </w:p>
    <w:p w:rsidR="00610175" w:rsidRDefault="00610175">
      <w:pPr>
        <w:spacing w:before="0" w:after="200" w:line="276" w:lineRule="auto"/>
      </w:pPr>
      <w:r>
        <w:br w:type="page"/>
      </w:r>
    </w:p>
    <w:p w:rsidR="00C051E9" w:rsidRDefault="00C051E9" w:rsidP="00C051E9">
      <w:pPr>
        <w:pStyle w:val="NumberingExercise"/>
        <w:numPr>
          <w:ilvl w:val="1"/>
          <w:numId w:val="2"/>
        </w:numPr>
      </w:pPr>
      <w:r>
        <w:lastRenderedPageBreak/>
        <w:t xml:space="preserve">Add the node for the </w:t>
      </w:r>
      <w:r>
        <w:rPr>
          <w:rFonts w:ascii="Courier New" w:hAnsi="Courier New"/>
          <w:b/>
          <w:kern w:val="0"/>
        </w:rPr>
        <w:t>TRANSACTIONS</w:t>
      </w:r>
      <w:r>
        <w:t xml:space="preserve"> data set and an Association node to the diagram.</w:t>
      </w:r>
      <w:r w:rsidR="00D371F0">
        <w:t xml:space="preserve"> Connect the data set </w:t>
      </w:r>
      <w:r w:rsidR="000E41AA">
        <w:t xml:space="preserve">node </w:t>
      </w:r>
      <w:r w:rsidR="00D371F0">
        <w:t>to the Association node.</w:t>
      </w:r>
    </w:p>
    <w:p w:rsidR="00C051E9" w:rsidRDefault="00A42EDA" w:rsidP="00C051E9">
      <w:pPr>
        <w:pStyle w:val="NumberingExercise"/>
        <w:numPr>
          <w:ilvl w:val="1"/>
          <w:numId w:val="2"/>
        </w:numPr>
      </w:pPr>
      <w:r>
        <w:t xml:space="preserve">In the Properties tab </w:t>
      </w:r>
      <w:r w:rsidR="00D371F0">
        <w:t>for the Association node</w:t>
      </w:r>
      <w:r>
        <w:t>, c</w:t>
      </w:r>
      <w:r w:rsidR="00C051E9">
        <w:t xml:space="preserve">hange the setting for Export Rule by ID to </w:t>
      </w:r>
      <w:r w:rsidR="00C051E9" w:rsidRPr="00A85111">
        <w:rPr>
          <w:b/>
          <w:u w:val="single"/>
        </w:rPr>
        <w:t>Yes</w:t>
      </w:r>
      <w:r w:rsidR="00C051E9">
        <w:t>.</w:t>
      </w:r>
      <w:r w:rsidR="00D371F0">
        <w:t xml:space="preserve"> </w:t>
      </w:r>
    </w:p>
    <w:p w:rsidR="00610175" w:rsidRDefault="00C051E9" w:rsidP="00610175">
      <w:pPr>
        <w:pStyle w:val="NumberingExercise"/>
        <w:numPr>
          <w:ilvl w:val="1"/>
          <w:numId w:val="2"/>
        </w:numPr>
      </w:pPr>
      <w:r>
        <w:t xml:space="preserve">Leave the remaining default settings for the Association node and run the </w:t>
      </w:r>
      <w:r w:rsidR="00BF77E2">
        <w:t>node</w:t>
      </w:r>
      <w:r>
        <w:t>.</w:t>
      </w:r>
    </w:p>
    <w:p w:rsidR="00FC684E" w:rsidRDefault="00C051E9" w:rsidP="00610175">
      <w:pPr>
        <w:pStyle w:val="NumberingExercise"/>
        <w:numPr>
          <w:ilvl w:val="1"/>
          <w:numId w:val="2"/>
        </w:numPr>
      </w:pPr>
      <w:r>
        <w:t>Examine the results of the association analysis</w:t>
      </w:r>
      <w:r w:rsidR="002F527E">
        <w:t xml:space="preserve"> </w:t>
      </w:r>
    </w:p>
    <w:p w:rsidR="002F527E" w:rsidRDefault="002F527E" w:rsidP="002F527E">
      <w:pPr>
        <w:pStyle w:val="NumberingExercise"/>
        <w:numPr>
          <w:ilvl w:val="0"/>
          <w:numId w:val="0"/>
        </w:numPr>
        <w:ind w:left="360" w:hanging="360"/>
      </w:pPr>
    </w:p>
    <w:p w:rsidR="00643036" w:rsidRDefault="00643036" w:rsidP="00643036">
      <w:pPr>
        <w:pStyle w:val="NumberingExercise"/>
        <w:numPr>
          <w:ilvl w:val="0"/>
          <w:numId w:val="0"/>
        </w:numPr>
        <w:ind w:left="360"/>
      </w:pPr>
      <w:r>
        <w:t xml:space="preserve">What is the highest lift value for the resulting rules? </w:t>
      </w:r>
      <w:r w:rsidRPr="00610175">
        <w:rPr>
          <w:b/>
        </w:rPr>
        <w:t>ANSWER:</w:t>
      </w:r>
      <w:r>
        <w:t xml:space="preserve"> </w:t>
      </w:r>
      <w:r>
        <w:br/>
      </w:r>
      <w:r>
        <w:br/>
        <w:t xml:space="preserve">Which rule pair has this value? </w:t>
      </w:r>
      <w:r w:rsidRPr="00610175">
        <w:rPr>
          <w:b/>
        </w:rPr>
        <w:t>ANSWER:</w:t>
      </w:r>
      <w:r>
        <w:t xml:space="preserve"> </w:t>
      </w:r>
    </w:p>
    <w:p w:rsidR="002F527E" w:rsidRDefault="002F527E" w:rsidP="002F527E">
      <w:pPr>
        <w:pStyle w:val="NumberingExercise"/>
        <w:numPr>
          <w:ilvl w:val="0"/>
          <w:numId w:val="0"/>
        </w:numPr>
        <w:ind w:left="360" w:hanging="360"/>
      </w:pPr>
    </w:p>
    <w:p w:rsidR="00FC684E" w:rsidRPr="00FC684E" w:rsidRDefault="00FC684E" w:rsidP="00FC684E">
      <w:pPr>
        <w:pStyle w:val="NumberingExercis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FC684E">
        <w:rPr>
          <w:b/>
        </w:rPr>
        <w:t xml:space="preserve">Include a screenshot of the Rule Description window (similar to page </w:t>
      </w:r>
      <w:r w:rsidR="00395FF4">
        <w:rPr>
          <w:b/>
        </w:rPr>
        <w:t>15</w:t>
      </w:r>
      <w:r w:rsidRPr="00FC684E">
        <w:rPr>
          <w:b/>
        </w:rPr>
        <w:t xml:space="preserve"> of the In-Class Exercise). </w:t>
      </w:r>
    </w:p>
    <w:p w:rsidR="00643036" w:rsidRDefault="00643036" w:rsidP="00FC684E">
      <w:pPr>
        <w:pStyle w:val="NumberingExercise"/>
        <w:numPr>
          <w:ilvl w:val="0"/>
          <w:numId w:val="0"/>
        </w:numPr>
        <w:tabs>
          <w:tab w:val="right" w:pos="9360"/>
        </w:tabs>
        <w:ind w:left="360"/>
      </w:pPr>
    </w:p>
    <w:p w:rsidR="00FC684E" w:rsidRDefault="00FC684E" w:rsidP="00FC684E">
      <w:pPr>
        <w:pStyle w:val="NumberingExercise"/>
        <w:numPr>
          <w:ilvl w:val="0"/>
          <w:numId w:val="0"/>
        </w:numPr>
        <w:tabs>
          <w:tab w:val="right" w:pos="9360"/>
        </w:tabs>
        <w:ind w:left="360"/>
      </w:pPr>
      <w:r>
        <w:t xml:space="preserve">Your manager comes to you and insists that you put the toothbrushes next to the toothpaste because they “go together” </w:t>
      </w:r>
      <w:r w:rsidR="0000429E">
        <w:t xml:space="preserve">(in other words, they are likely to be purchased together). </w:t>
      </w:r>
      <w:r>
        <w:t>Is that supported by the data? Explain.</w:t>
      </w:r>
      <w:r>
        <w:br/>
      </w:r>
      <w:r>
        <w:br/>
      </w:r>
      <w:r w:rsidRPr="002F527E">
        <w:rPr>
          <w:b/>
        </w:rPr>
        <w:t xml:space="preserve">ANSWER: </w:t>
      </w:r>
    </w:p>
    <w:p w:rsidR="00FC684E" w:rsidRDefault="00FC684E" w:rsidP="00FC684E">
      <w:pPr>
        <w:pStyle w:val="NumberingExercise"/>
        <w:numPr>
          <w:ilvl w:val="0"/>
          <w:numId w:val="0"/>
        </w:numPr>
        <w:tabs>
          <w:tab w:val="right" w:pos="9360"/>
        </w:tabs>
        <w:ind w:left="360"/>
      </w:pPr>
    </w:p>
    <w:p w:rsidR="00FC684E" w:rsidRDefault="00FC684E" w:rsidP="00FC684E">
      <w:pPr>
        <w:pStyle w:val="NumberingExercise"/>
        <w:numPr>
          <w:ilvl w:val="0"/>
          <w:numId w:val="0"/>
        </w:numPr>
        <w:tabs>
          <w:tab w:val="right" w:pos="9360"/>
        </w:tabs>
        <w:ind w:left="360"/>
      </w:pPr>
      <w:r>
        <w:t xml:space="preserve">What does seem to “go </w:t>
      </w:r>
      <w:r w:rsidR="0000429E">
        <w:t>together</w:t>
      </w:r>
      <w:r>
        <w:t xml:space="preserve">” </w:t>
      </w:r>
      <w:r w:rsidR="0000429E">
        <w:t xml:space="preserve">with </w:t>
      </w:r>
      <w:r>
        <w:t>toothpaste?</w:t>
      </w:r>
    </w:p>
    <w:p w:rsidR="00FC684E" w:rsidRDefault="00FC684E" w:rsidP="00FC684E">
      <w:pPr>
        <w:pStyle w:val="NumberingExercise"/>
        <w:numPr>
          <w:ilvl w:val="0"/>
          <w:numId w:val="0"/>
        </w:numPr>
        <w:tabs>
          <w:tab w:val="right" w:pos="9360"/>
        </w:tabs>
        <w:ind w:left="360"/>
      </w:pPr>
    </w:p>
    <w:p w:rsidR="00A843BD" w:rsidRDefault="00FC684E" w:rsidP="00643036">
      <w:pPr>
        <w:pStyle w:val="NumberingExercise"/>
        <w:numPr>
          <w:ilvl w:val="0"/>
          <w:numId w:val="0"/>
        </w:numPr>
        <w:tabs>
          <w:tab w:val="right" w:pos="9360"/>
        </w:tabs>
        <w:ind w:left="360"/>
        <w:rPr>
          <w:rFonts w:asciiTheme="minorHAnsi" w:hAnsiTheme="minorHAnsi" w:cstheme="minorHAnsi"/>
          <w:b/>
          <w:color w:val="C00000"/>
          <w:sz w:val="28"/>
        </w:rPr>
      </w:pPr>
      <w:r w:rsidRPr="002F527E">
        <w:rPr>
          <w:b/>
        </w:rPr>
        <w:t>ANSWER:</w:t>
      </w:r>
      <w:r w:rsidR="00610175">
        <w:rPr>
          <w:b/>
        </w:rPr>
        <w:t xml:space="preserve"> </w:t>
      </w:r>
    </w:p>
    <w:p w:rsidR="00643036" w:rsidRPr="00696DBF" w:rsidRDefault="00BF2ADB" w:rsidP="00DB702F">
      <w:pPr>
        <w:pStyle w:val="NumberingExercise"/>
        <w:numPr>
          <w:ilvl w:val="0"/>
          <w:numId w:val="0"/>
        </w:numPr>
        <w:tabs>
          <w:tab w:val="right" w:pos="9360"/>
        </w:tabs>
        <w:rPr>
          <w:rFonts w:asciiTheme="minorHAnsi" w:hAnsiTheme="minorHAnsi" w:cstheme="minorHAnsi"/>
          <w:b/>
          <w:color w:val="C00000"/>
          <w:sz w:val="28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00429E">
        <w:t xml:space="preserve">What conclusions can you draw from the rule pair of rules </w:t>
      </w:r>
      <w:r>
        <w:t>32 and 33 to make decisions (Magazine</w:t>
      </w:r>
      <w:r>
        <w:sym w:font="Wingdings" w:char="F0E0"/>
      </w:r>
      <w:r>
        <w:t>Toothpaste and Toothpaste</w:t>
      </w:r>
      <w:r>
        <w:sym w:font="Wingdings" w:char="F0E0"/>
      </w:r>
      <w:r>
        <w:t xml:space="preserve">Magazine)? Use </w:t>
      </w:r>
      <w:r w:rsidR="0000429E">
        <w:t>the appropriate statistics</w:t>
      </w:r>
      <w:r>
        <w:t xml:space="preserve"> from the rules table to support your answer. </w:t>
      </w:r>
      <w:r>
        <w:br/>
      </w:r>
      <w:r>
        <w:br/>
      </w:r>
      <w:r>
        <w:rPr>
          <w:b/>
        </w:rPr>
        <w:br/>
      </w:r>
      <w:r w:rsidRPr="00BF2ADB">
        <w:rPr>
          <w:b/>
        </w:rPr>
        <w:t>ANSWER:</w:t>
      </w:r>
      <w:r>
        <w:t xml:space="preserve"> </w:t>
      </w:r>
    </w:p>
    <w:p w:rsidR="00FC684E" w:rsidRPr="002F527E" w:rsidRDefault="00FC684E" w:rsidP="00FC684E">
      <w:pPr>
        <w:pStyle w:val="NumberingExercise"/>
        <w:numPr>
          <w:ilvl w:val="0"/>
          <w:numId w:val="0"/>
        </w:numPr>
        <w:tabs>
          <w:tab w:val="right" w:pos="9360"/>
        </w:tabs>
        <w:ind w:left="360"/>
        <w:rPr>
          <w:b/>
        </w:rPr>
      </w:pPr>
    </w:p>
    <w:p w:rsidR="00A42EDA" w:rsidRPr="00A42EDA" w:rsidRDefault="00A42EDA" w:rsidP="00C051E9">
      <w:pPr>
        <w:ind w:left="720"/>
      </w:pPr>
    </w:p>
    <w:sectPr w:rsidR="00A42EDA" w:rsidRPr="00A42EDA" w:rsidSect="00D371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A23159"/>
    <w:multiLevelType w:val="multilevel"/>
    <w:tmpl w:val="6D6E7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B683436"/>
    <w:multiLevelType w:val="multilevel"/>
    <w:tmpl w:val="540CC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="Times New Roman" w:hAnsi="Times New Roman" w:cs="Times New Roman"/>
          <w:b/>
          <w:i w:val="0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C051E9"/>
    <w:rsid w:val="0000429E"/>
    <w:rsid w:val="000E41AA"/>
    <w:rsid w:val="000F648A"/>
    <w:rsid w:val="00185699"/>
    <w:rsid w:val="001E63B1"/>
    <w:rsid w:val="00225377"/>
    <w:rsid w:val="00270BCC"/>
    <w:rsid w:val="002C1C23"/>
    <w:rsid w:val="002F527E"/>
    <w:rsid w:val="003360A3"/>
    <w:rsid w:val="00395FF4"/>
    <w:rsid w:val="003E326E"/>
    <w:rsid w:val="005254EB"/>
    <w:rsid w:val="005559F7"/>
    <w:rsid w:val="005E758C"/>
    <w:rsid w:val="00603EDF"/>
    <w:rsid w:val="006060C1"/>
    <w:rsid w:val="00610175"/>
    <w:rsid w:val="00643036"/>
    <w:rsid w:val="00785E9D"/>
    <w:rsid w:val="00911D8E"/>
    <w:rsid w:val="009B1A75"/>
    <w:rsid w:val="00A42EDA"/>
    <w:rsid w:val="00A843BD"/>
    <w:rsid w:val="00BF2ADB"/>
    <w:rsid w:val="00BF77E2"/>
    <w:rsid w:val="00C051E9"/>
    <w:rsid w:val="00D371F0"/>
    <w:rsid w:val="00DB702F"/>
    <w:rsid w:val="00F01755"/>
    <w:rsid w:val="00FA7CD8"/>
    <w:rsid w:val="00FC47F8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13023-F6E0-42B5-B8C6-6E5E1D7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E9"/>
    <w:pPr>
      <w:spacing w:before="120" w:after="6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1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C051E9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paragraph" w:customStyle="1" w:styleId="NumberingExercise">
    <w:name w:val="Numbering(Exercise)"/>
    <w:basedOn w:val="Normal"/>
    <w:rsid w:val="00C051E9"/>
    <w:pPr>
      <w:numPr>
        <w:numId w:val="2"/>
      </w:numPr>
    </w:pPr>
  </w:style>
  <w:style w:type="paragraph" w:customStyle="1" w:styleId="HeadingExercise">
    <w:name w:val="Heading Exercise"/>
    <w:basedOn w:val="Heading3"/>
    <w:next w:val="Normal"/>
    <w:rsid w:val="00C051E9"/>
    <w:pPr>
      <w:keepLines w:val="0"/>
      <w:spacing w:before="480" w:after="160"/>
    </w:pPr>
    <w:rPr>
      <w:rFonts w:ascii="Arial" w:eastAsia="Times New Roman" w:hAnsi="Arial" w:cs="Times New Roman"/>
      <w:bCs w:val="0"/>
      <w:color w:val="000000"/>
      <w:kern w:val="2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1E9"/>
    <w:rPr>
      <w:rFonts w:asciiTheme="majorHAnsi" w:eastAsiaTheme="majorEastAsia" w:hAnsiTheme="majorHAnsi" w:cstheme="majorBidi"/>
      <w:b/>
      <w:bCs/>
      <w:color w:val="4F81BD" w:themeColor="accent1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 Wattal</dc:creator>
  <cp:lastModifiedBy>David Schuff</cp:lastModifiedBy>
  <cp:revision>35</cp:revision>
  <dcterms:created xsi:type="dcterms:W3CDTF">2011-11-03T00:58:00Z</dcterms:created>
  <dcterms:modified xsi:type="dcterms:W3CDTF">2014-03-29T03:24:00Z</dcterms:modified>
</cp:coreProperties>
</file>