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12F" w:rsidRPr="00DB712F" w:rsidRDefault="00DB712F" w:rsidP="00DB712F">
      <w:pPr>
        <w:pStyle w:val="Title"/>
        <w:jc w:val="left"/>
        <w:rPr>
          <w:rFonts w:asciiTheme="minorHAnsi" w:hAnsiTheme="minorHAnsi"/>
          <w:szCs w:val="22"/>
        </w:rPr>
      </w:pPr>
      <w:r w:rsidRPr="00DB712F">
        <w:rPr>
          <w:rFonts w:asciiTheme="minorHAnsi" w:hAnsiTheme="minorHAnsi"/>
          <w:szCs w:val="22"/>
        </w:rPr>
        <w:t>In-</w:t>
      </w:r>
      <w:r w:rsidR="00C96BC8">
        <w:rPr>
          <w:rFonts w:asciiTheme="minorHAnsi" w:hAnsiTheme="minorHAnsi"/>
          <w:szCs w:val="22"/>
        </w:rPr>
        <w:t>C</w:t>
      </w:r>
      <w:r w:rsidRPr="00DB712F">
        <w:rPr>
          <w:rFonts w:asciiTheme="minorHAnsi" w:hAnsiTheme="minorHAnsi"/>
          <w:szCs w:val="22"/>
        </w:rPr>
        <w:t xml:space="preserve">lass </w:t>
      </w:r>
      <w:r w:rsidR="00EC6D9F">
        <w:rPr>
          <w:rFonts w:asciiTheme="minorHAnsi" w:hAnsiTheme="minorHAnsi"/>
          <w:szCs w:val="22"/>
        </w:rPr>
        <w:t>Activity #1</w:t>
      </w:r>
      <w:r w:rsidR="003B1162">
        <w:rPr>
          <w:rFonts w:asciiTheme="minorHAnsi" w:hAnsiTheme="minorHAnsi"/>
          <w:szCs w:val="22"/>
        </w:rPr>
        <w:t>.1</w:t>
      </w:r>
      <w:r w:rsidRPr="00DB712F">
        <w:rPr>
          <w:rFonts w:asciiTheme="minorHAnsi" w:hAnsiTheme="minorHAnsi"/>
          <w:szCs w:val="22"/>
        </w:rPr>
        <w:t xml:space="preserve">: </w:t>
      </w:r>
      <w:r w:rsidR="00394A33">
        <w:rPr>
          <w:rFonts w:asciiTheme="minorHAnsi" w:hAnsiTheme="minorHAnsi"/>
          <w:szCs w:val="22"/>
        </w:rPr>
        <w:t xml:space="preserve">Identify the Entities </w:t>
      </w:r>
      <w:r w:rsidR="00ED13CC">
        <w:rPr>
          <w:rFonts w:asciiTheme="minorHAnsi" w:hAnsiTheme="minorHAnsi"/>
          <w:szCs w:val="22"/>
        </w:rPr>
        <w:t xml:space="preserve">and Attributes </w:t>
      </w:r>
      <w:r w:rsidR="00394A33">
        <w:rPr>
          <w:rFonts w:asciiTheme="minorHAnsi" w:hAnsiTheme="minorHAnsi"/>
          <w:szCs w:val="22"/>
        </w:rPr>
        <w:t>in Problem Scenarios</w:t>
      </w:r>
    </w:p>
    <w:p w:rsidR="00DB712F" w:rsidRPr="00DB712F" w:rsidRDefault="00DB712F" w:rsidP="00DB712F">
      <w:pPr>
        <w:pStyle w:val="Title"/>
        <w:jc w:val="left"/>
        <w:rPr>
          <w:rFonts w:asciiTheme="minorHAnsi" w:hAnsiTheme="minorHAnsi"/>
          <w:b w:val="0"/>
          <w:sz w:val="22"/>
          <w:szCs w:val="22"/>
        </w:rPr>
      </w:pPr>
    </w:p>
    <w:tbl>
      <w:tblPr>
        <w:tblStyle w:val="TableGrid"/>
        <w:tblW w:w="0" w:type="auto"/>
        <w:tblLook w:val="04A0" w:firstRow="1" w:lastRow="0" w:firstColumn="1" w:lastColumn="0" w:noHBand="0" w:noVBand="1"/>
      </w:tblPr>
      <w:tblGrid>
        <w:gridCol w:w="9576"/>
      </w:tblGrid>
      <w:tr w:rsidR="00F666C0" w:rsidTr="00D56C08">
        <w:tc>
          <w:tcPr>
            <w:tcW w:w="12978" w:type="dxa"/>
          </w:tcPr>
          <w:p w:rsidR="00F666C0" w:rsidRDefault="00F666C0" w:rsidP="00D56C08">
            <w:pPr>
              <w:spacing w:after="200"/>
              <w:jc w:val="center"/>
              <w:rPr>
                <w:b/>
              </w:rPr>
            </w:pPr>
            <w:r>
              <w:rPr>
                <w:b/>
              </w:rPr>
              <w:t>Submission Instructions</w:t>
            </w:r>
          </w:p>
          <w:p w:rsidR="006828D9" w:rsidRDefault="00A765A4" w:rsidP="003A2682">
            <w:pPr>
              <w:spacing w:after="120"/>
              <w:rPr>
                <w:b/>
                <w:sz w:val="20"/>
              </w:rPr>
            </w:pPr>
            <w:r>
              <w:t>Complete this in-class activity by filling the blank templates on the last page, save this file, and s</w:t>
            </w:r>
            <w:r w:rsidRPr="00344BDC">
              <w:t xml:space="preserve">ubmit </w:t>
            </w:r>
            <w:r>
              <w:t>this file</w:t>
            </w:r>
            <w:r w:rsidR="00F666C0" w:rsidRPr="00344BDC">
              <w:t xml:space="preserve"> through </w:t>
            </w:r>
            <w:r w:rsidR="006828D9">
              <w:rPr>
                <w:b/>
              </w:rPr>
              <w:t>Canvas</w:t>
            </w:r>
            <w:r w:rsidR="00F666C0" w:rsidRPr="00344BDC">
              <w:rPr>
                <w:b/>
              </w:rPr>
              <w:t>&gt;</w:t>
            </w:r>
            <w:r w:rsidR="00FF1822">
              <w:rPr>
                <w:b/>
              </w:rPr>
              <w:t>Assignments&gt;</w:t>
            </w:r>
            <w:r w:rsidR="00882DB9">
              <w:rPr>
                <w:b/>
              </w:rPr>
              <w:t>In-Class Activities</w:t>
            </w:r>
            <w:r>
              <w:rPr>
                <w:b/>
              </w:rPr>
              <w:t xml:space="preserve">. </w:t>
            </w:r>
            <w:r w:rsidRPr="00A765A4">
              <w:rPr>
                <w:sz w:val="24"/>
              </w:rPr>
              <w:t xml:space="preserve">Please submit your solution </w:t>
            </w:r>
            <w:r w:rsidR="006828D9" w:rsidRPr="00A765A4">
              <w:rPr>
                <w:b/>
                <w:sz w:val="24"/>
              </w:rPr>
              <w:t xml:space="preserve">within </w:t>
            </w:r>
            <w:r w:rsidR="00FF1822" w:rsidRPr="00A765A4">
              <w:rPr>
                <w:b/>
                <w:sz w:val="24"/>
              </w:rPr>
              <w:t>three hours after class</w:t>
            </w:r>
            <w:r w:rsidR="00F666C0" w:rsidRPr="00A765A4">
              <w:rPr>
                <w:sz w:val="24"/>
              </w:rPr>
              <w:t xml:space="preserve">. </w:t>
            </w:r>
            <w:r w:rsidR="00F666C0" w:rsidRPr="00A765A4">
              <w:rPr>
                <w:rFonts w:cstheme="minorHAnsi"/>
                <w:bCs/>
                <w:sz w:val="24"/>
              </w:rPr>
              <w:t xml:space="preserve"> </w:t>
            </w:r>
          </w:p>
          <w:p w:rsidR="006828D9" w:rsidRDefault="006828D9" w:rsidP="003A2682">
            <w:pPr>
              <w:spacing w:after="120"/>
              <w:rPr>
                <w:b/>
                <w:sz w:val="20"/>
              </w:rPr>
            </w:pPr>
            <w:r>
              <w:rPr>
                <w:b/>
                <w:sz w:val="20"/>
              </w:rPr>
              <w:t>More about In-Class Activities (ICAs):</w:t>
            </w:r>
          </w:p>
          <w:p w:rsidR="00FF1822" w:rsidRDefault="00FF1822" w:rsidP="00FF1822">
            <w:pPr>
              <w:pStyle w:val="ListParagraph"/>
              <w:numPr>
                <w:ilvl w:val="0"/>
                <w:numId w:val="7"/>
              </w:numPr>
              <w:spacing w:after="120"/>
              <w:rPr>
                <w:sz w:val="20"/>
              </w:rPr>
            </w:pPr>
            <w:r>
              <w:rPr>
                <w:sz w:val="20"/>
              </w:rPr>
              <w:t>ICAs</w:t>
            </w:r>
            <w:r w:rsidRPr="00FF1822">
              <w:rPr>
                <w:sz w:val="20"/>
              </w:rPr>
              <w:t xml:space="preserve"> </w:t>
            </w:r>
            <w:r>
              <w:rPr>
                <w:sz w:val="20"/>
              </w:rPr>
              <w:t>account for 5% of the total course grade.</w:t>
            </w:r>
          </w:p>
          <w:p w:rsidR="00FF1822" w:rsidRPr="00FF1822" w:rsidRDefault="00FF1822" w:rsidP="00FF1822">
            <w:pPr>
              <w:pStyle w:val="ListParagraph"/>
              <w:numPr>
                <w:ilvl w:val="0"/>
                <w:numId w:val="7"/>
              </w:numPr>
              <w:spacing w:after="120"/>
              <w:rPr>
                <w:sz w:val="20"/>
              </w:rPr>
            </w:pPr>
            <w:r>
              <w:rPr>
                <w:sz w:val="20"/>
              </w:rPr>
              <w:t xml:space="preserve">ICAs </w:t>
            </w:r>
            <w:r w:rsidRPr="00FF1822">
              <w:rPr>
                <w:sz w:val="20"/>
              </w:rPr>
              <w:t>are very hands-on in nature, where students will be expected to work with various examples and data sets based on instructions and class discussions.</w:t>
            </w:r>
          </w:p>
          <w:p w:rsidR="00FF1822" w:rsidRPr="00FF1822" w:rsidRDefault="00FF1822" w:rsidP="00FF1822">
            <w:pPr>
              <w:pStyle w:val="ListParagraph"/>
              <w:numPr>
                <w:ilvl w:val="0"/>
                <w:numId w:val="7"/>
              </w:numPr>
              <w:spacing w:after="120"/>
              <w:rPr>
                <w:sz w:val="20"/>
              </w:rPr>
            </w:pPr>
            <w:r w:rsidRPr="00FF1822">
              <w:rPr>
                <w:sz w:val="20"/>
              </w:rPr>
              <w:t>ICAs are to be completed during class and submitted through Canvas.</w:t>
            </w:r>
            <w:r>
              <w:rPr>
                <w:sz w:val="20"/>
              </w:rPr>
              <w:t xml:space="preserve"> The extra three hours after class time is designed to accommodate cases such as bad internet access.</w:t>
            </w:r>
          </w:p>
          <w:p w:rsidR="00FF1822" w:rsidRPr="00FF1822" w:rsidRDefault="00FF1822" w:rsidP="00FF1822">
            <w:pPr>
              <w:pStyle w:val="ListParagraph"/>
              <w:numPr>
                <w:ilvl w:val="0"/>
                <w:numId w:val="7"/>
              </w:numPr>
              <w:spacing w:after="120"/>
              <w:rPr>
                <w:rFonts w:cstheme="minorHAnsi"/>
                <w:bCs/>
                <w:sz w:val="20"/>
              </w:rPr>
            </w:pPr>
            <w:r w:rsidRPr="00FF1822">
              <w:rPr>
                <w:sz w:val="20"/>
              </w:rPr>
              <w:t xml:space="preserve">You are allowed to miss </w:t>
            </w:r>
            <w:r w:rsidRPr="00FF1822">
              <w:rPr>
                <w:b/>
                <w:sz w:val="20"/>
              </w:rPr>
              <w:t>two submissions</w:t>
            </w:r>
            <w:r w:rsidRPr="00FF1822">
              <w:rPr>
                <w:sz w:val="20"/>
              </w:rPr>
              <w:t xml:space="preserve"> for ICAs without penalty. Deliverables from in-class activities will be graded by success or fail. Missed or late submissions will receive a zero (fail) grade.</w:t>
            </w:r>
          </w:p>
          <w:p w:rsidR="006828D9" w:rsidRPr="00FF1822" w:rsidRDefault="00FF1822" w:rsidP="003A2682">
            <w:pPr>
              <w:pStyle w:val="ListParagraph"/>
              <w:numPr>
                <w:ilvl w:val="1"/>
                <w:numId w:val="7"/>
              </w:numPr>
              <w:spacing w:after="120"/>
              <w:rPr>
                <w:sz w:val="20"/>
              </w:rPr>
            </w:pPr>
            <w:r>
              <w:rPr>
                <w:sz w:val="20"/>
              </w:rPr>
              <w:t xml:space="preserve">Note: </w:t>
            </w:r>
            <w:r w:rsidRPr="00FF1822">
              <w:rPr>
                <w:sz w:val="20"/>
              </w:rPr>
              <w:t>Equipment failure is not an acceptable reason for turning in an ICA late.</w:t>
            </w:r>
          </w:p>
        </w:tc>
      </w:tr>
    </w:tbl>
    <w:p w:rsidR="00F666C0" w:rsidRDefault="00F666C0" w:rsidP="008E3915">
      <w:pPr>
        <w:rPr>
          <w:b/>
        </w:rPr>
      </w:pPr>
    </w:p>
    <w:p w:rsidR="00E63ED3" w:rsidRPr="007004DF" w:rsidRDefault="00E63ED3" w:rsidP="008E3915">
      <w:pPr>
        <w:rPr>
          <w:b/>
        </w:rPr>
      </w:pPr>
      <w:r w:rsidRPr="007004DF">
        <w:rPr>
          <w:b/>
        </w:rPr>
        <w:t xml:space="preserve">Read the two scenarios below. </w:t>
      </w:r>
      <w:r w:rsidR="00394A33" w:rsidRPr="007004DF">
        <w:rPr>
          <w:b/>
        </w:rPr>
        <w:t>Identify the entities and the</w:t>
      </w:r>
      <w:r w:rsidR="003130D3" w:rsidRPr="007004DF">
        <w:rPr>
          <w:b/>
        </w:rPr>
        <w:t>ir</w:t>
      </w:r>
      <w:r w:rsidR="00394A33" w:rsidRPr="007004DF">
        <w:rPr>
          <w:b/>
        </w:rPr>
        <w:t xml:space="preserve"> attributes by following </w:t>
      </w:r>
      <w:r w:rsidR="003130D3" w:rsidRPr="007004DF">
        <w:rPr>
          <w:b/>
        </w:rPr>
        <w:t xml:space="preserve">these </w:t>
      </w:r>
      <w:r w:rsidR="00394A33" w:rsidRPr="007004DF">
        <w:rPr>
          <w:b/>
        </w:rPr>
        <w:t>steps:</w:t>
      </w:r>
    </w:p>
    <w:p w:rsidR="00041BC3" w:rsidRPr="00041BC3" w:rsidRDefault="00041BC3" w:rsidP="00041BC3">
      <w:pPr>
        <w:pStyle w:val="ListParagraph"/>
        <w:numPr>
          <w:ilvl w:val="0"/>
          <w:numId w:val="5"/>
        </w:numPr>
        <w:rPr>
          <w:sz w:val="22"/>
        </w:rPr>
      </w:pPr>
      <w:r w:rsidRPr="00041BC3">
        <w:rPr>
          <w:sz w:val="22"/>
        </w:rPr>
        <w:t xml:space="preserve">List the nouns in the problem statement. </w:t>
      </w:r>
    </w:p>
    <w:p w:rsidR="00041BC3" w:rsidRPr="00041BC3" w:rsidRDefault="00041BC3" w:rsidP="00041BC3">
      <w:pPr>
        <w:pStyle w:val="ListParagraph"/>
        <w:numPr>
          <w:ilvl w:val="0"/>
          <w:numId w:val="5"/>
        </w:numPr>
        <w:rPr>
          <w:sz w:val="22"/>
        </w:rPr>
      </w:pPr>
      <w:r w:rsidRPr="00041BC3">
        <w:rPr>
          <w:sz w:val="22"/>
        </w:rPr>
        <w:t>When nouns are synonyms for other nouns, choose the best one.</w:t>
      </w:r>
    </w:p>
    <w:p w:rsidR="00041BC3" w:rsidRPr="00041BC3" w:rsidRDefault="00041BC3" w:rsidP="00041BC3">
      <w:pPr>
        <w:pStyle w:val="ListParagraph"/>
        <w:numPr>
          <w:ilvl w:val="0"/>
          <w:numId w:val="5"/>
        </w:numPr>
        <w:rPr>
          <w:sz w:val="22"/>
        </w:rPr>
      </w:pPr>
      <w:r w:rsidRPr="00041BC3">
        <w:rPr>
          <w:sz w:val="22"/>
        </w:rPr>
        <w:t>Make a note of nouns that describe other nouns. These will be your entities’ attributes.</w:t>
      </w:r>
    </w:p>
    <w:p w:rsidR="00041BC3" w:rsidRDefault="00041BC3" w:rsidP="00041BC3">
      <w:pPr>
        <w:pStyle w:val="ListParagraph"/>
        <w:numPr>
          <w:ilvl w:val="0"/>
          <w:numId w:val="5"/>
        </w:numPr>
      </w:pPr>
      <w:r w:rsidRPr="00041BC3">
        <w:rPr>
          <w:sz w:val="22"/>
        </w:rPr>
        <w:t>Rule out the nouns that don’t relate to the process to be captured.</w:t>
      </w:r>
    </w:p>
    <w:p w:rsidR="00041BC3" w:rsidRPr="00041BC3" w:rsidRDefault="00041BC3" w:rsidP="00041BC3">
      <w:r>
        <w:t>Work on each scenario in groups of</w:t>
      </w:r>
      <w:r w:rsidR="00D4333C">
        <w:t xml:space="preserve"> two or</w:t>
      </w:r>
      <w:r>
        <w:t xml:space="preserve"> </w:t>
      </w:r>
      <w:r w:rsidR="006B4458">
        <w:t>three</w:t>
      </w:r>
      <w:r>
        <w:t>. For each scenario, you should wind up with a list of entities with their attributes.</w:t>
      </w:r>
      <w:r w:rsidR="00CB422D">
        <w:t xml:space="preserve"> </w:t>
      </w:r>
    </w:p>
    <w:tbl>
      <w:tblPr>
        <w:tblStyle w:val="TableGrid"/>
        <w:tblW w:w="5000" w:type="pct"/>
        <w:jc w:val="center"/>
        <w:tblLook w:val="04A0" w:firstRow="1" w:lastRow="0" w:firstColumn="1" w:lastColumn="0" w:noHBand="0" w:noVBand="1"/>
      </w:tblPr>
      <w:tblGrid>
        <w:gridCol w:w="7398"/>
        <w:gridCol w:w="2178"/>
      </w:tblGrid>
      <w:tr w:rsidR="00D56C08" w:rsidTr="00150687">
        <w:trPr>
          <w:jc w:val="center"/>
        </w:trPr>
        <w:tc>
          <w:tcPr>
            <w:tcW w:w="3863" w:type="pct"/>
          </w:tcPr>
          <w:p w:rsidR="0019691C" w:rsidRDefault="0019691C" w:rsidP="0019691C">
            <w:pPr>
              <w:spacing w:after="200" w:line="276" w:lineRule="auto"/>
              <w:rPr>
                <w:b/>
                <w:i/>
              </w:rPr>
            </w:pPr>
            <w:r w:rsidRPr="00F46289">
              <w:rPr>
                <w:b/>
                <w:i/>
              </w:rPr>
              <w:t>Scenario 1: Inventory and Parts</w:t>
            </w:r>
          </w:p>
          <w:p w:rsidR="0019691C" w:rsidRDefault="0019691C" w:rsidP="0019691C">
            <w:pPr>
              <w:spacing w:after="200" w:line="276" w:lineRule="auto"/>
            </w:pPr>
            <w:r>
              <w:t>The purchasing department of the Monster Car Company wants to track part orders for its specialty vehicles. The company builds several awesome vehicles, such as a truck (which they call “</w:t>
            </w:r>
            <w:proofErr w:type="spellStart"/>
            <w:r>
              <w:t>Truckasaurus</w:t>
            </w:r>
            <w:proofErr w:type="spellEnd"/>
            <w:r>
              <w:t>”), limousine (“</w:t>
            </w:r>
            <w:proofErr w:type="spellStart"/>
            <w:r>
              <w:t>Limosaurus</w:t>
            </w:r>
            <w:proofErr w:type="spellEnd"/>
            <w:r>
              <w:t>”), a van (“</w:t>
            </w:r>
            <w:proofErr w:type="spellStart"/>
            <w:r>
              <w:t>Vanasaurus</w:t>
            </w:r>
            <w:proofErr w:type="spellEnd"/>
            <w:r>
              <w:t xml:space="preserve">”), or an RV (for some reason, “Buddy”). </w:t>
            </w:r>
          </w:p>
          <w:p w:rsidR="0019691C" w:rsidRDefault="0019691C" w:rsidP="0019691C">
            <w:pPr>
              <w:spacing w:after="200" w:line="276" w:lineRule="auto"/>
            </w:pPr>
            <w:r>
              <w:t xml:space="preserve">When a new vehicle is ordered by the customer, the division that makes that vehicle will order parts from purchasing. The purchasing department </w:t>
            </w:r>
            <w:r w:rsidRPr="007D17EF">
              <w:rPr>
                <w:b/>
              </w:rPr>
              <w:t>doesn’t care what vehicle the part is for</w:t>
            </w:r>
            <w:r>
              <w:t xml:space="preserve">, it just wants to track what parts were ordered. </w:t>
            </w:r>
          </w:p>
          <w:p w:rsidR="0019691C" w:rsidRDefault="0019691C" w:rsidP="0019691C">
            <w:pPr>
              <w:spacing w:after="200" w:line="276" w:lineRule="auto"/>
            </w:pPr>
            <w:r>
              <w:t xml:space="preserve">Each order can contain multiple parts, and a part can be part of more than one order. An order is described by the order date, the first and last name, email address, department name, and phone number of the contact person in the originating department.  </w:t>
            </w:r>
          </w:p>
          <w:p w:rsidR="0019691C" w:rsidRDefault="0019691C" w:rsidP="0019691C">
            <w:pPr>
              <w:spacing w:after="200" w:line="276" w:lineRule="auto"/>
            </w:pPr>
            <w:r>
              <w:t xml:space="preserve">A part is described by its name, the Monster Car Companies internal part number, and a description of the part. Also, the inventory level for each part is </w:t>
            </w:r>
            <w:r>
              <w:lastRenderedPageBreak/>
              <w:t xml:space="preserve">tracked so that the department knows when they need to restock in order to maintain timely order fulfillment. </w:t>
            </w:r>
          </w:p>
          <w:p w:rsidR="0019691C" w:rsidRDefault="0019691C" w:rsidP="0019691C">
            <w:pPr>
              <w:spacing w:after="200" w:line="276" w:lineRule="auto"/>
            </w:pPr>
            <w:r>
              <w:t xml:space="preserve">A part supplier is described by its name, contact phone number, and contact email address. A part may be sourced from several suppliers, and a supplier can sell multiple parts to the Monster Car Company. </w:t>
            </w:r>
          </w:p>
          <w:p w:rsidR="009245F2" w:rsidRPr="00D56C08" w:rsidRDefault="0019691C" w:rsidP="0019691C">
            <w:pPr>
              <w:spacing w:after="200" w:line="276" w:lineRule="auto"/>
            </w:pPr>
            <w:r>
              <w:t>Finally, suppliers have their own part numbering schemes. This means that the manufacturer parts numbers for the same part may be different for different suppliers. The database should keep track of suppliers’ part numbers and relate them back to the car company’s own internal part number. For example, the Monster Car Company may refer to a “hex widget” as “101,” but supplier 1 may use the part number “201” and supplier 2 may use the part number “804.”</w:t>
            </w:r>
          </w:p>
        </w:tc>
        <w:tc>
          <w:tcPr>
            <w:tcW w:w="1137" w:type="pct"/>
          </w:tcPr>
          <w:p w:rsidR="0019691C" w:rsidRPr="0019691C" w:rsidRDefault="00A765A4" w:rsidP="0019691C">
            <w:pPr>
              <w:spacing w:after="200" w:line="276" w:lineRule="auto"/>
              <w:rPr>
                <w:i/>
                <w:u w:val="single"/>
              </w:rPr>
            </w:pPr>
            <w:r>
              <w:rPr>
                <w:i/>
                <w:u w:val="single"/>
              </w:rPr>
              <w:lastRenderedPageBreak/>
              <w:t>You can leave notes</w:t>
            </w:r>
            <w:r w:rsidR="0019691C" w:rsidRPr="0019691C">
              <w:rPr>
                <w:i/>
                <w:u w:val="single"/>
              </w:rPr>
              <w:t xml:space="preserve"> here:</w:t>
            </w:r>
          </w:p>
        </w:tc>
      </w:tr>
      <w:tr w:rsidR="00D56C08" w:rsidTr="00150687">
        <w:trPr>
          <w:jc w:val="center"/>
        </w:trPr>
        <w:tc>
          <w:tcPr>
            <w:tcW w:w="3863" w:type="pct"/>
          </w:tcPr>
          <w:p w:rsidR="0019691C" w:rsidRPr="00F46289" w:rsidRDefault="0019691C" w:rsidP="0019691C">
            <w:pPr>
              <w:spacing w:after="200" w:line="276" w:lineRule="auto"/>
              <w:rPr>
                <w:b/>
                <w:i/>
              </w:rPr>
            </w:pPr>
            <w:r w:rsidRPr="00F46289">
              <w:rPr>
                <w:b/>
                <w:i/>
              </w:rPr>
              <w:t xml:space="preserve">Scenario 2: Housing Authority </w:t>
            </w:r>
          </w:p>
          <w:p w:rsidR="0019691C" w:rsidRDefault="0019691C" w:rsidP="0019691C">
            <w:pPr>
              <w:spacing w:after="200" w:line="276" w:lineRule="auto"/>
            </w:pPr>
            <w:r>
              <w:t xml:space="preserve">The Big City public housing agency has assigned you the task of keeping track of who is living in the agency's developments over time. The agency needs a database that allows them to capture this information. </w:t>
            </w:r>
          </w:p>
          <w:p w:rsidR="0019691C" w:rsidRDefault="0019691C" w:rsidP="0019691C">
            <w:pPr>
              <w:spacing w:after="200" w:line="276" w:lineRule="auto"/>
            </w:pPr>
            <w:r>
              <w:t xml:space="preserve">The city has several public housing developments across Big City. A development is described by its development id, its name, and the number of units. Each unit in the development is described by the unit number, the number of bedrooms, the number of bathrooms, and the square footage. </w:t>
            </w:r>
          </w:p>
          <w:p w:rsidR="0019691C" w:rsidRDefault="0019691C" w:rsidP="0019691C">
            <w:pPr>
              <w:spacing w:after="200" w:line="276" w:lineRule="auto"/>
            </w:pPr>
            <w:r>
              <w:t xml:space="preserve">You also need to keep track of the people living in each unit. The basic unit of residence is the household, described by a household id and a description field (for notes from the agency). There is a limit of only one household per unit at a time although multiple households will occupy a unit over time. Each household can be made up of one or more residents, and a resident can only be part of one household.  </w:t>
            </w:r>
          </w:p>
          <w:p w:rsidR="0019691C" w:rsidRDefault="0019691C" w:rsidP="0019691C">
            <w:pPr>
              <w:spacing w:after="200" w:line="276" w:lineRule="auto"/>
            </w:pPr>
            <w:r>
              <w:t xml:space="preserve">A resident is described by their first and last name, their date of birth, and whether they are they are the head of the household. </w:t>
            </w:r>
          </w:p>
          <w:p w:rsidR="009245F2" w:rsidRPr="00D56C08" w:rsidRDefault="0019691C" w:rsidP="004E2140">
            <w:pPr>
              <w:spacing w:after="200" w:line="276" w:lineRule="auto"/>
            </w:pPr>
            <w:r>
              <w:t xml:space="preserve">Finally, keep track of when a household moved into and out of a unit. You want to be able to track households as they move from one unit to another or from one development to another. Therefore, you can describe the occupancy of a household in a housing unit by a start date and an end date. If they are currently living in the unit, the end date would be left blank. </w:t>
            </w:r>
          </w:p>
        </w:tc>
        <w:tc>
          <w:tcPr>
            <w:tcW w:w="1137" w:type="pct"/>
          </w:tcPr>
          <w:p w:rsidR="0019691C" w:rsidRDefault="00A765A4" w:rsidP="0019691C">
            <w:pPr>
              <w:spacing w:after="200" w:line="276" w:lineRule="auto"/>
              <w:rPr>
                <w:b/>
                <w:i/>
              </w:rPr>
            </w:pPr>
            <w:r>
              <w:rPr>
                <w:i/>
                <w:u w:val="single"/>
              </w:rPr>
              <w:t>You can leave notes</w:t>
            </w:r>
            <w:r w:rsidR="0019691C" w:rsidRPr="0019691C">
              <w:rPr>
                <w:i/>
                <w:u w:val="single"/>
              </w:rPr>
              <w:t xml:space="preserve"> here:</w:t>
            </w:r>
          </w:p>
        </w:tc>
      </w:tr>
    </w:tbl>
    <w:p w:rsidR="00F73624" w:rsidRDefault="00F73624" w:rsidP="00245EAE"/>
    <w:p w:rsidR="00A765A4" w:rsidRDefault="00A765A4" w:rsidP="00245EAE"/>
    <w:p w:rsidR="00150687" w:rsidRPr="00230069" w:rsidRDefault="00150687" w:rsidP="00A765A4">
      <w:pPr>
        <w:rPr>
          <w:b/>
        </w:rPr>
      </w:pPr>
      <w:bookmarkStart w:id="0" w:name="_GoBack"/>
      <w:r w:rsidRPr="00230069">
        <w:rPr>
          <w:b/>
        </w:rPr>
        <w:lastRenderedPageBreak/>
        <w:t>Write down your solutions by filling the blank templates on this page.</w:t>
      </w:r>
    </w:p>
    <w:bookmarkEnd w:id="0"/>
    <w:p w:rsidR="00A765A4" w:rsidRDefault="00A765A4" w:rsidP="00A765A4">
      <w:pPr>
        <w:rPr>
          <w:b/>
          <w:sz w:val="20"/>
          <w:szCs w:val="20"/>
        </w:rPr>
      </w:pPr>
      <w:r>
        <w:rPr>
          <w:b/>
          <w:sz w:val="20"/>
          <w:szCs w:val="20"/>
        </w:rPr>
        <w:t>Scenario 1: Inventory and Parts</w:t>
      </w:r>
    </w:p>
    <w:tbl>
      <w:tblPr>
        <w:tblStyle w:val="TableGrid"/>
        <w:tblW w:w="0" w:type="auto"/>
        <w:tblInd w:w="1075" w:type="dxa"/>
        <w:tblLook w:val="04A0" w:firstRow="1" w:lastRow="0" w:firstColumn="1" w:lastColumn="0" w:noHBand="0" w:noVBand="1"/>
      </w:tblPr>
      <w:tblGrid>
        <w:gridCol w:w="2700"/>
        <w:gridCol w:w="4140"/>
      </w:tblGrid>
      <w:tr w:rsidR="00A765A4" w:rsidTr="00A765A4">
        <w:tc>
          <w:tcPr>
            <w:tcW w:w="2700" w:type="dxa"/>
            <w:tcBorders>
              <w:top w:val="single" w:sz="4" w:space="0" w:color="auto"/>
              <w:left w:val="single" w:sz="4" w:space="0" w:color="auto"/>
              <w:bottom w:val="single" w:sz="4" w:space="0" w:color="auto"/>
              <w:right w:val="single" w:sz="4" w:space="0" w:color="auto"/>
            </w:tcBorders>
            <w:hideMark/>
          </w:tcPr>
          <w:p w:rsidR="00A765A4" w:rsidRDefault="00A765A4">
            <w:pPr>
              <w:rPr>
                <w:b/>
                <w:sz w:val="20"/>
                <w:szCs w:val="20"/>
              </w:rPr>
            </w:pPr>
            <w:r>
              <w:rPr>
                <w:b/>
                <w:sz w:val="20"/>
                <w:szCs w:val="20"/>
              </w:rPr>
              <w:t>Entities</w:t>
            </w:r>
          </w:p>
        </w:tc>
        <w:tc>
          <w:tcPr>
            <w:tcW w:w="4140" w:type="dxa"/>
            <w:tcBorders>
              <w:top w:val="single" w:sz="4" w:space="0" w:color="auto"/>
              <w:left w:val="single" w:sz="4" w:space="0" w:color="auto"/>
              <w:bottom w:val="single" w:sz="4" w:space="0" w:color="auto"/>
              <w:right w:val="single" w:sz="4" w:space="0" w:color="auto"/>
            </w:tcBorders>
            <w:hideMark/>
          </w:tcPr>
          <w:p w:rsidR="00A765A4" w:rsidRDefault="00A765A4">
            <w:pPr>
              <w:rPr>
                <w:b/>
                <w:sz w:val="20"/>
                <w:szCs w:val="20"/>
              </w:rPr>
            </w:pPr>
            <w:r>
              <w:rPr>
                <w:b/>
                <w:sz w:val="20"/>
                <w:szCs w:val="20"/>
              </w:rPr>
              <w:t>Attributes</w:t>
            </w:r>
          </w:p>
        </w:tc>
      </w:tr>
      <w:tr w:rsidR="00A765A4" w:rsidTr="00A765A4">
        <w:tc>
          <w:tcPr>
            <w:tcW w:w="2700" w:type="dxa"/>
            <w:tcBorders>
              <w:top w:val="single" w:sz="4" w:space="0" w:color="auto"/>
              <w:left w:val="single" w:sz="4" w:space="0" w:color="auto"/>
              <w:bottom w:val="single" w:sz="4" w:space="0" w:color="auto"/>
              <w:right w:val="single" w:sz="4" w:space="0" w:color="auto"/>
            </w:tcBorders>
          </w:tcPr>
          <w:p w:rsidR="00A765A4" w:rsidRDefault="00A765A4">
            <w:pPr>
              <w:rPr>
                <w:sz w:val="20"/>
                <w:szCs w:val="20"/>
              </w:rPr>
            </w:pPr>
          </w:p>
        </w:tc>
        <w:tc>
          <w:tcPr>
            <w:tcW w:w="4140" w:type="dxa"/>
            <w:tcBorders>
              <w:top w:val="single" w:sz="4" w:space="0" w:color="auto"/>
              <w:left w:val="single" w:sz="4" w:space="0" w:color="auto"/>
              <w:bottom w:val="single" w:sz="4" w:space="0" w:color="auto"/>
              <w:right w:val="single" w:sz="4" w:space="0" w:color="auto"/>
            </w:tcBorders>
          </w:tcPr>
          <w:p w:rsidR="00A765A4" w:rsidRDefault="00A765A4">
            <w:pPr>
              <w:rPr>
                <w:sz w:val="20"/>
                <w:szCs w:val="20"/>
              </w:rPr>
            </w:pPr>
          </w:p>
        </w:tc>
      </w:tr>
      <w:tr w:rsidR="00A765A4" w:rsidTr="00A765A4">
        <w:tc>
          <w:tcPr>
            <w:tcW w:w="2700" w:type="dxa"/>
            <w:tcBorders>
              <w:top w:val="single" w:sz="4" w:space="0" w:color="auto"/>
              <w:left w:val="single" w:sz="4" w:space="0" w:color="auto"/>
              <w:bottom w:val="single" w:sz="4" w:space="0" w:color="auto"/>
              <w:right w:val="single" w:sz="4" w:space="0" w:color="auto"/>
            </w:tcBorders>
          </w:tcPr>
          <w:p w:rsidR="00A765A4" w:rsidRDefault="00A765A4">
            <w:pPr>
              <w:rPr>
                <w:sz w:val="20"/>
                <w:szCs w:val="20"/>
              </w:rPr>
            </w:pPr>
          </w:p>
        </w:tc>
        <w:tc>
          <w:tcPr>
            <w:tcW w:w="4140" w:type="dxa"/>
            <w:tcBorders>
              <w:top w:val="single" w:sz="4" w:space="0" w:color="auto"/>
              <w:left w:val="single" w:sz="4" w:space="0" w:color="auto"/>
              <w:bottom w:val="single" w:sz="4" w:space="0" w:color="auto"/>
              <w:right w:val="single" w:sz="4" w:space="0" w:color="auto"/>
            </w:tcBorders>
          </w:tcPr>
          <w:p w:rsidR="00A765A4" w:rsidRDefault="00A765A4">
            <w:pPr>
              <w:rPr>
                <w:sz w:val="20"/>
                <w:szCs w:val="20"/>
              </w:rPr>
            </w:pPr>
          </w:p>
        </w:tc>
      </w:tr>
      <w:tr w:rsidR="00A765A4" w:rsidTr="00A765A4">
        <w:tc>
          <w:tcPr>
            <w:tcW w:w="2700" w:type="dxa"/>
            <w:tcBorders>
              <w:top w:val="single" w:sz="4" w:space="0" w:color="auto"/>
              <w:left w:val="single" w:sz="4" w:space="0" w:color="auto"/>
              <w:bottom w:val="single" w:sz="4" w:space="0" w:color="auto"/>
              <w:right w:val="single" w:sz="4" w:space="0" w:color="auto"/>
            </w:tcBorders>
          </w:tcPr>
          <w:p w:rsidR="00A765A4" w:rsidRDefault="00A765A4">
            <w:pPr>
              <w:rPr>
                <w:sz w:val="20"/>
                <w:szCs w:val="20"/>
              </w:rPr>
            </w:pPr>
          </w:p>
        </w:tc>
        <w:tc>
          <w:tcPr>
            <w:tcW w:w="4140" w:type="dxa"/>
            <w:tcBorders>
              <w:top w:val="single" w:sz="4" w:space="0" w:color="auto"/>
              <w:left w:val="single" w:sz="4" w:space="0" w:color="auto"/>
              <w:bottom w:val="single" w:sz="4" w:space="0" w:color="auto"/>
              <w:right w:val="single" w:sz="4" w:space="0" w:color="auto"/>
            </w:tcBorders>
          </w:tcPr>
          <w:p w:rsidR="00A765A4" w:rsidRDefault="00A765A4">
            <w:pPr>
              <w:rPr>
                <w:sz w:val="20"/>
                <w:szCs w:val="20"/>
              </w:rPr>
            </w:pPr>
          </w:p>
        </w:tc>
      </w:tr>
      <w:tr w:rsidR="00A765A4" w:rsidTr="00A765A4">
        <w:tc>
          <w:tcPr>
            <w:tcW w:w="2700" w:type="dxa"/>
            <w:tcBorders>
              <w:top w:val="single" w:sz="4" w:space="0" w:color="auto"/>
              <w:left w:val="single" w:sz="4" w:space="0" w:color="auto"/>
              <w:bottom w:val="single" w:sz="4" w:space="0" w:color="auto"/>
              <w:right w:val="single" w:sz="4" w:space="0" w:color="auto"/>
            </w:tcBorders>
          </w:tcPr>
          <w:p w:rsidR="00A765A4" w:rsidRDefault="00A765A4">
            <w:pPr>
              <w:rPr>
                <w:sz w:val="20"/>
                <w:szCs w:val="20"/>
              </w:rPr>
            </w:pPr>
          </w:p>
        </w:tc>
        <w:tc>
          <w:tcPr>
            <w:tcW w:w="4140" w:type="dxa"/>
            <w:tcBorders>
              <w:top w:val="single" w:sz="4" w:space="0" w:color="auto"/>
              <w:left w:val="single" w:sz="4" w:space="0" w:color="auto"/>
              <w:bottom w:val="single" w:sz="4" w:space="0" w:color="auto"/>
              <w:right w:val="single" w:sz="4" w:space="0" w:color="auto"/>
            </w:tcBorders>
          </w:tcPr>
          <w:p w:rsidR="00A765A4" w:rsidRDefault="00A765A4">
            <w:pPr>
              <w:rPr>
                <w:sz w:val="20"/>
                <w:szCs w:val="20"/>
              </w:rPr>
            </w:pPr>
          </w:p>
        </w:tc>
      </w:tr>
      <w:tr w:rsidR="00A765A4" w:rsidTr="00A765A4">
        <w:tc>
          <w:tcPr>
            <w:tcW w:w="2700" w:type="dxa"/>
            <w:tcBorders>
              <w:top w:val="single" w:sz="4" w:space="0" w:color="auto"/>
              <w:left w:val="single" w:sz="4" w:space="0" w:color="auto"/>
              <w:bottom w:val="single" w:sz="4" w:space="0" w:color="auto"/>
              <w:right w:val="single" w:sz="4" w:space="0" w:color="auto"/>
            </w:tcBorders>
          </w:tcPr>
          <w:p w:rsidR="00A765A4" w:rsidRDefault="00A765A4">
            <w:pPr>
              <w:rPr>
                <w:sz w:val="20"/>
                <w:szCs w:val="20"/>
              </w:rPr>
            </w:pPr>
          </w:p>
        </w:tc>
        <w:tc>
          <w:tcPr>
            <w:tcW w:w="4140" w:type="dxa"/>
            <w:tcBorders>
              <w:top w:val="single" w:sz="4" w:space="0" w:color="auto"/>
              <w:left w:val="single" w:sz="4" w:space="0" w:color="auto"/>
              <w:bottom w:val="single" w:sz="4" w:space="0" w:color="auto"/>
              <w:right w:val="single" w:sz="4" w:space="0" w:color="auto"/>
            </w:tcBorders>
          </w:tcPr>
          <w:p w:rsidR="00A765A4" w:rsidRDefault="00A765A4">
            <w:pPr>
              <w:rPr>
                <w:sz w:val="20"/>
                <w:szCs w:val="20"/>
              </w:rPr>
            </w:pPr>
          </w:p>
        </w:tc>
      </w:tr>
      <w:tr w:rsidR="00A765A4" w:rsidTr="00A765A4">
        <w:tc>
          <w:tcPr>
            <w:tcW w:w="2700" w:type="dxa"/>
            <w:tcBorders>
              <w:top w:val="single" w:sz="4" w:space="0" w:color="auto"/>
              <w:left w:val="single" w:sz="4" w:space="0" w:color="auto"/>
              <w:bottom w:val="single" w:sz="4" w:space="0" w:color="auto"/>
              <w:right w:val="single" w:sz="4" w:space="0" w:color="auto"/>
            </w:tcBorders>
          </w:tcPr>
          <w:p w:rsidR="00A765A4" w:rsidRDefault="00A765A4">
            <w:pPr>
              <w:rPr>
                <w:sz w:val="20"/>
                <w:szCs w:val="20"/>
              </w:rPr>
            </w:pPr>
          </w:p>
        </w:tc>
        <w:tc>
          <w:tcPr>
            <w:tcW w:w="4140" w:type="dxa"/>
            <w:tcBorders>
              <w:top w:val="single" w:sz="4" w:space="0" w:color="auto"/>
              <w:left w:val="single" w:sz="4" w:space="0" w:color="auto"/>
              <w:bottom w:val="single" w:sz="4" w:space="0" w:color="auto"/>
              <w:right w:val="single" w:sz="4" w:space="0" w:color="auto"/>
            </w:tcBorders>
          </w:tcPr>
          <w:p w:rsidR="00A765A4" w:rsidRDefault="00A765A4">
            <w:pPr>
              <w:rPr>
                <w:sz w:val="20"/>
                <w:szCs w:val="20"/>
              </w:rPr>
            </w:pPr>
          </w:p>
        </w:tc>
      </w:tr>
      <w:tr w:rsidR="00A765A4" w:rsidTr="00A765A4">
        <w:tc>
          <w:tcPr>
            <w:tcW w:w="2700" w:type="dxa"/>
            <w:tcBorders>
              <w:top w:val="single" w:sz="4" w:space="0" w:color="auto"/>
              <w:left w:val="single" w:sz="4" w:space="0" w:color="auto"/>
              <w:bottom w:val="double" w:sz="4" w:space="0" w:color="auto"/>
              <w:right w:val="single" w:sz="4" w:space="0" w:color="auto"/>
            </w:tcBorders>
          </w:tcPr>
          <w:p w:rsidR="00A765A4" w:rsidRDefault="00A765A4">
            <w:pPr>
              <w:rPr>
                <w:i/>
                <w:sz w:val="20"/>
                <w:szCs w:val="20"/>
              </w:rPr>
            </w:pPr>
          </w:p>
        </w:tc>
        <w:tc>
          <w:tcPr>
            <w:tcW w:w="4140" w:type="dxa"/>
            <w:tcBorders>
              <w:top w:val="single" w:sz="4" w:space="0" w:color="auto"/>
              <w:left w:val="single" w:sz="4" w:space="0" w:color="auto"/>
              <w:bottom w:val="double" w:sz="4" w:space="0" w:color="auto"/>
              <w:right w:val="single" w:sz="4" w:space="0" w:color="auto"/>
            </w:tcBorders>
          </w:tcPr>
          <w:p w:rsidR="00A765A4" w:rsidRDefault="00A765A4">
            <w:pPr>
              <w:rPr>
                <w:i/>
                <w:sz w:val="20"/>
                <w:szCs w:val="20"/>
              </w:rPr>
            </w:pPr>
          </w:p>
        </w:tc>
      </w:tr>
      <w:tr w:rsidR="00A765A4" w:rsidTr="00A765A4">
        <w:tc>
          <w:tcPr>
            <w:tcW w:w="2700" w:type="dxa"/>
            <w:tcBorders>
              <w:top w:val="double" w:sz="4" w:space="0" w:color="auto"/>
              <w:left w:val="single" w:sz="4" w:space="0" w:color="auto"/>
              <w:bottom w:val="double" w:sz="4" w:space="0" w:color="auto"/>
              <w:right w:val="single" w:sz="4" w:space="0" w:color="auto"/>
            </w:tcBorders>
            <w:hideMark/>
          </w:tcPr>
          <w:p w:rsidR="00A765A4" w:rsidRDefault="00A765A4">
            <w:pPr>
              <w:rPr>
                <w:i/>
                <w:sz w:val="20"/>
                <w:szCs w:val="20"/>
              </w:rPr>
            </w:pPr>
            <w:r>
              <w:rPr>
                <w:i/>
                <w:sz w:val="20"/>
                <w:szCs w:val="20"/>
              </w:rPr>
              <w:t>Other attributes</w:t>
            </w:r>
          </w:p>
        </w:tc>
        <w:tc>
          <w:tcPr>
            <w:tcW w:w="4140" w:type="dxa"/>
            <w:tcBorders>
              <w:top w:val="double" w:sz="4" w:space="0" w:color="auto"/>
              <w:left w:val="single" w:sz="4" w:space="0" w:color="auto"/>
              <w:bottom w:val="double" w:sz="4" w:space="0" w:color="auto"/>
              <w:right w:val="single" w:sz="4" w:space="0" w:color="auto"/>
            </w:tcBorders>
          </w:tcPr>
          <w:p w:rsidR="00A765A4" w:rsidRDefault="00A765A4">
            <w:pPr>
              <w:rPr>
                <w:i/>
                <w:sz w:val="20"/>
                <w:szCs w:val="20"/>
              </w:rPr>
            </w:pPr>
          </w:p>
        </w:tc>
      </w:tr>
      <w:tr w:rsidR="00A765A4" w:rsidTr="00A765A4">
        <w:tc>
          <w:tcPr>
            <w:tcW w:w="2700" w:type="dxa"/>
            <w:tcBorders>
              <w:top w:val="double" w:sz="4" w:space="0" w:color="auto"/>
              <w:left w:val="single" w:sz="4" w:space="0" w:color="auto"/>
              <w:bottom w:val="single" w:sz="4" w:space="0" w:color="auto"/>
              <w:right w:val="single" w:sz="4" w:space="0" w:color="auto"/>
            </w:tcBorders>
            <w:hideMark/>
          </w:tcPr>
          <w:p w:rsidR="00A765A4" w:rsidRDefault="00A765A4">
            <w:pPr>
              <w:rPr>
                <w:sz w:val="20"/>
                <w:szCs w:val="20"/>
              </w:rPr>
            </w:pPr>
            <w:r>
              <w:rPr>
                <w:sz w:val="20"/>
                <w:szCs w:val="20"/>
              </w:rPr>
              <w:t>Nouns that are not entities:</w:t>
            </w:r>
          </w:p>
        </w:tc>
        <w:tc>
          <w:tcPr>
            <w:tcW w:w="4140" w:type="dxa"/>
            <w:tcBorders>
              <w:top w:val="double" w:sz="4" w:space="0" w:color="auto"/>
              <w:left w:val="single" w:sz="4" w:space="0" w:color="auto"/>
              <w:bottom w:val="single" w:sz="4" w:space="0" w:color="auto"/>
              <w:right w:val="single" w:sz="4" w:space="0" w:color="auto"/>
            </w:tcBorders>
          </w:tcPr>
          <w:p w:rsidR="00A765A4" w:rsidRDefault="00A765A4">
            <w:pPr>
              <w:rPr>
                <w:i/>
                <w:sz w:val="20"/>
                <w:szCs w:val="20"/>
              </w:rPr>
            </w:pPr>
          </w:p>
        </w:tc>
      </w:tr>
    </w:tbl>
    <w:p w:rsidR="00A765A4" w:rsidRDefault="00A765A4" w:rsidP="00A765A4">
      <w:pPr>
        <w:rPr>
          <w:b/>
          <w:sz w:val="20"/>
          <w:szCs w:val="20"/>
        </w:rPr>
      </w:pPr>
    </w:p>
    <w:p w:rsidR="00A765A4" w:rsidRDefault="00A765A4" w:rsidP="00A765A4">
      <w:pPr>
        <w:spacing w:after="160" w:line="256" w:lineRule="auto"/>
        <w:rPr>
          <w:b/>
          <w:sz w:val="20"/>
          <w:szCs w:val="20"/>
        </w:rPr>
      </w:pPr>
    </w:p>
    <w:p w:rsidR="00A765A4" w:rsidRDefault="00A765A4" w:rsidP="00A765A4">
      <w:pPr>
        <w:rPr>
          <w:b/>
          <w:sz w:val="20"/>
          <w:szCs w:val="20"/>
        </w:rPr>
      </w:pPr>
      <w:r>
        <w:rPr>
          <w:b/>
          <w:sz w:val="20"/>
          <w:szCs w:val="20"/>
        </w:rPr>
        <w:t>Scenario 2: Housing Authority</w:t>
      </w:r>
    </w:p>
    <w:tbl>
      <w:tblPr>
        <w:tblStyle w:val="TableGrid"/>
        <w:tblW w:w="0" w:type="auto"/>
        <w:tblInd w:w="1075" w:type="dxa"/>
        <w:tblLook w:val="04A0" w:firstRow="1" w:lastRow="0" w:firstColumn="1" w:lastColumn="0" w:noHBand="0" w:noVBand="1"/>
      </w:tblPr>
      <w:tblGrid>
        <w:gridCol w:w="2700"/>
        <w:gridCol w:w="4140"/>
      </w:tblGrid>
      <w:tr w:rsidR="00A765A4" w:rsidTr="00A765A4">
        <w:tc>
          <w:tcPr>
            <w:tcW w:w="2700" w:type="dxa"/>
            <w:tcBorders>
              <w:top w:val="single" w:sz="4" w:space="0" w:color="auto"/>
              <w:left w:val="single" w:sz="4" w:space="0" w:color="auto"/>
              <w:bottom w:val="single" w:sz="4" w:space="0" w:color="auto"/>
              <w:right w:val="single" w:sz="4" w:space="0" w:color="auto"/>
            </w:tcBorders>
            <w:hideMark/>
          </w:tcPr>
          <w:p w:rsidR="00A765A4" w:rsidRDefault="00A765A4">
            <w:pPr>
              <w:rPr>
                <w:b/>
                <w:sz w:val="20"/>
                <w:szCs w:val="20"/>
              </w:rPr>
            </w:pPr>
            <w:r>
              <w:rPr>
                <w:b/>
                <w:sz w:val="20"/>
                <w:szCs w:val="20"/>
              </w:rPr>
              <w:t>Entities</w:t>
            </w:r>
          </w:p>
        </w:tc>
        <w:tc>
          <w:tcPr>
            <w:tcW w:w="4140" w:type="dxa"/>
            <w:tcBorders>
              <w:top w:val="single" w:sz="4" w:space="0" w:color="auto"/>
              <w:left w:val="single" w:sz="4" w:space="0" w:color="auto"/>
              <w:bottom w:val="single" w:sz="4" w:space="0" w:color="auto"/>
              <w:right w:val="single" w:sz="4" w:space="0" w:color="auto"/>
            </w:tcBorders>
            <w:hideMark/>
          </w:tcPr>
          <w:p w:rsidR="00A765A4" w:rsidRDefault="00A765A4">
            <w:pPr>
              <w:rPr>
                <w:b/>
                <w:sz w:val="20"/>
                <w:szCs w:val="20"/>
              </w:rPr>
            </w:pPr>
            <w:r>
              <w:rPr>
                <w:b/>
                <w:sz w:val="20"/>
                <w:szCs w:val="20"/>
              </w:rPr>
              <w:t>Attributes</w:t>
            </w:r>
          </w:p>
        </w:tc>
      </w:tr>
      <w:tr w:rsidR="00A765A4" w:rsidTr="00A765A4">
        <w:tc>
          <w:tcPr>
            <w:tcW w:w="2700" w:type="dxa"/>
            <w:tcBorders>
              <w:top w:val="single" w:sz="4" w:space="0" w:color="auto"/>
              <w:left w:val="single" w:sz="4" w:space="0" w:color="auto"/>
              <w:bottom w:val="single" w:sz="4" w:space="0" w:color="auto"/>
              <w:right w:val="single" w:sz="4" w:space="0" w:color="auto"/>
            </w:tcBorders>
          </w:tcPr>
          <w:p w:rsidR="00A765A4" w:rsidRDefault="00A765A4">
            <w:pPr>
              <w:rPr>
                <w:sz w:val="20"/>
                <w:szCs w:val="20"/>
              </w:rPr>
            </w:pPr>
          </w:p>
        </w:tc>
        <w:tc>
          <w:tcPr>
            <w:tcW w:w="4140" w:type="dxa"/>
            <w:tcBorders>
              <w:top w:val="single" w:sz="4" w:space="0" w:color="auto"/>
              <w:left w:val="single" w:sz="4" w:space="0" w:color="auto"/>
              <w:bottom w:val="single" w:sz="4" w:space="0" w:color="auto"/>
              <w:right w:val="single" w:sz="4" w:space="0" w:color="auto"/>
            </w:tcBorders>
          </w:tcPr>
          <w:p w:rsidR="00A765A4" w:rsidRDefault="00A765A4">
            <w:pPr>
              <w:rPr>
                <w:sz w:val="20"/>
                <w:szCs w:val="20"/>
              </w:rPr>
            </w:pPr>
          </w:p>
        </w:tc>
      </w:tr>
      <w:tr w:rsidR="00A765A4" w:rsidTr="00A765A4">
        <w:tc>
          <w:tcPr>
            <w:tcW w:w="2700" w:type="dxa"/>
            <w:tcBorders>
              <w:top w:val="single" w:sz="4" w:space="0" w:color="auto"/>
              <w:left w:val="single" w:sz="4" w:space="0" w:color="auto"/>
              <w:bottom w:val="single" w:sz="4" w:space="0" w:color="auto"/>
              <w:right w:val="single" w:sz="4" w:space="0" w:color="auto"/>
            </w:tcBorders>
          </w:tcPr>
          <w:p w:rsidR="00A765A4" w:rsidRDefault="00A765A4">
            <w:pPr>
              <w:rPr>
                <w:sz w:val="20"/>
                <w:szCs w:val="20"/>
              </w:rPr>
            </w:pPr>
          </w:p>
        </w:tc>
        <w:tc>
          <w:tcPr>
            <w:tcW w:w="4140" w:type="dxa"/>
            <w:tcBorders>
              <w:top w:val="single" w:sz="4" w:space="0" w:color="auto"/>
              <w:left w:val="single" w:sz="4" w:space="0" w:color="auto"/>
              <w:bottom w:val="single" w:sz="4" w:space="0" w:color="auto"/>
              <w:right w:val="single" w:sz="4" w:space="0" w:color="auto"/>
            </w:tcBorders>
          </w:tcPr>
          <w:p w:rsidR="00A765A4" w:rsidRDefault="00A765A4">
            <w:pPr>
              <w:rPr>
                <w:sz w:val="20"/>
                <w:szCs w:val="20"/>
              </w:rPr>
            </w:pPr>
          </w:p>
        </w:tc>
      </w:tr>
      <w:tr w:rsidR="00A765A4" w:rsidTr="00A765A4">
        <w:tc>
          <w:tcPr>
            <w:tcW w:w="2700" w:type="dxa"/>
            <w:tcBorders>
              <w:top w:val="single" w:sz="4" w:space="0" w:color="auto"/>
              <w:left w:val="single" w:sz="4" w:space="0" w:color="auto"/>
              <w:bottom w:val="single" w:sz="4" w:space="0" w:color="auto"/>
              <w:right w:val="single" w:sz="4" w:space="0" w:color="auto"/>
            </w:tcBorders>
          </w:tcPr>
          <w:p w:rsidR="00A765A4" w:rsidRDefault="00A765A4">
            <w:pPr>
              <w:rPr>
                <w:sz w:val="20"/>
                <w:szCs w:val="20"/>
              </w:rPr>
            </w:pPr>
          </w:p>
        </w:tc>
        <w:tc>
          <w:tcPr>
            <w:tcW w:w="4140" w:type="dxa"/>
            <w:tcBorders>
              <w:top w:val="single" w:sz="4" w:space="0" w:color="auto"/>
              <w:left w:val="single" w:sz="4" w:space="0" w:color="auto"/>
              <w:bottom w:val="single" w:sz="4" w:space="0" w:color="auto"/>
              <w:right w:val="single" w:sz="4" w:space="0" w:color="auto"/>
            </w:tcBorders>
          </w:tcPr>
          <w:p w:rsidR="00A765A4" w:rsidRDefault="00A765A4">
            <w:pPr>
              <w:rPr>
                <w:sz w:val="20"/>
                <w:szCs w:val="20"/>
              </w:rPr>
            </w:pPr>
          </w:p>
        </w:tc>
      </w:tr>
      <w:tr w:rsidR="00A765A4" w:rsidTr="00A765A4">
        <w:tc>
          <w:tcPr>
            <w:tcW w:w="2700" w:type="dxa"/>
            <w:tcBorders>
              <w:top w:val="single" w:sz="4" w:space="0" w:color="auto"/>
              <w:left w:val="single" w:sz="4" w:space="0" w:color="auto"/>
              <w:bottom w:val="single" w:sz="4" w:space="0" w:color="auto"/>
              <w:right w:val="single" w:sz="4" w:space="0" w:color="auto"/>
            </w:tcBorders>
          </w:tcPr>
          <w:p w:rsidR="00A765A4" w:rsidRDefault="00A765A4">
            <w:pPr>
              <w:rPr>
                <w:sz w:val="20"/>
                <w:szCs w:val="20"/>
              </w:rPr>
            </w:pPr>
          </w:p>
        </w:tc>
        <w:tc>
          <w:tcPr>
            <w:tcW w:w="4140" w:type="dxa"/>
            <w:tcBorders>
              <w:top w:val="single" w:sz="4" w:space="0" w:color="auto"/>
              <w:left w:val="single" w:sz="4" w:space="0" w:color="auto"/>
              <w:bottom w:val="single" w:sz="4" w:space="0" w:color="auto"/>
              <w:right w:val="single" w:sz="4" w:space="0" w:color="auto"/>
            </w:tcBorders>
          </w:tcPr>
          <w:p w:rsidR="00A765A4" w:rsidRDefault="00A765A4">
            <w:pPr>
              <w:rPr>
                <w:sz w:val="20"/>
                <w:szCs w:val="20"/>
              </w:rPr>
            </w:pPr>
          </w:p>
        </w:tc>
      </w:tr>
      <w:tr w:rsidR="00A765A4" w:rsidTr="00A765A4">
        <w:tc>
          <w:tcPr>
            <w:tcW w:w="2700" w:type="dxa"/>
            <w:tcBorders>
              <w:top w:val="single" w:sz="4" w:space="0" w:color="auto"/>
              <w:left w:val="single" w:sz="4" w:space="0" w:color="auto"/>
              <w:bottom w:val="single" w:sz="4" w:space="0" w:color="auto"/>
              <w:right w:val="single" w:sz="4" w:space="0" w:color="auto"/>
            </w:tcBorders>
          </w:tcPr>
          <w:p w:rsidR="00A765A4" w:rsidRDefault="00A765A4">
            <w:pPr>
              <w:rPr>
                <w:sz w:val="20"/>
                <w:szCs w:val="20"/>
              </w:rPr>
            </w:pPr>
          </w:p>
        </w:tc>
        <w:tc>
          <w:tcPr>
            <w:tcW w:w="4140" w:type="dxa"/>
            <w:tcBorders>
              <w:top w:val="single" w:sz="4" w:space="0" w:color="auto"/>
              <w:left w:val="single" w:sz="4" w:space="0" w:color="auto"/>
              <w:bottom w:val="single" w:sz="4" w:space="0" w:color="auto"/>
              <w:right w:val="single" w:sz="4" w:space="0" w:color="auto"/>
            </w:tcBorders>
          </w:tcPr>
          <w:p w:rsidR="00A765A4" w:rsidRDefault="00A765A4">
            <w:pPr>
              <w:rPr>
                <w:sz w:val="20"/>
                <w:szCs w:val="20"/>
              </w:rPr>
            </w:pPr>
          </w:p>
        </w:tc>
      </w:tr>
      <w:tr w:rsidR="00A765A4" w:rsidTr="00A765A4">
        <w:tc>
          <w:tcPr>
            <w:tcW w:w="2700" w:type="dxa"/>
            <w:tcBorders>
              <w:top w:val="single" w:sz="4" w:space="0" w:color="auto"/>
              <w:left w:val="single" w:sz="4" w:space="0" w:color="auto"/>
              <w:bottom w:val="single" w:sz="4" w:space="0" w:color="auto"/>
              <w:right w:val="single" w:sz="4" w:space="0" w:color="auto"/>
            </w:tcBorders>
          </w:tcPr>
          <w:p w:rsidR="00A765A4" w:rsidRDefault="00A765A4">
            <w:pPr>
              <w:rPr>
                <w:sz w:val="20"/>
                <w:szCs w:val="20"/>
              </w:rPr>
            </w:pPr>
          </w:p>
        </w:tc>
        <w:tc>
          <w:tcPr>
            <w:tcW w:w="4140" w:type="dxa"/>
            <w:tcBorders>
              <w:top w:val="single" w:sz="4" w:space="0" w:color="auto"/>
              <w:left w:val="single" w:sz="4" w:space="0" w:color="auto"/>
              <w:bottom w:val="single" w:sz="4" w:space="0" w:color="auto"/>
              <w:right w:val="single" w:sz="4" w:space="0" w:color="auto"/>
            </w:tcBorders>
          </w:tcPr>
          <w:p w:rsidR="00A765A4" w:rsidRDefault="00A765A4">
            <w:pPr>
              <w:rPr>
                <w:sz w:val="20"/>
                <w:szCs w:val="20"/>
              </w:rPr>
            </w:pPr>
          </w:p>
        </w:tc>
      </w:tr>
      <w:tr w:rsidR="00A765A4" w:rsidTr="00A765A4">
        <w:tc>
          <w:tcPr>
            <w:tcW w:w="2700" w:type="dxa"/>
            <w:tcBorders>
              <w:top w:val="single" w:sz="4" w:space="0" w:color="auto"/>
              <w:left w:val="single" w:sz="4" w:space="0" w:color="auto"/>
              <w:bottom w:val="double" w:sz="4" w:space="0" w:color="auto"/>
              <w:right w:val="single" w:sz="4" w:space="0" w:color="auto"/>
            </w:tcBorders>
          </w:tcPr>
          <w:p w:rsidR="00A765A4" w:rsidRDefault="00A765A4">
            <w:pPr>
              <w:rPr>
                <w:i/>
                <w:sz w:val="20"/>
                <w:szCs w:val="20"/>
              </w:rPr>
            </w:pPr>
          </w:p>
        </w:tc>
        <w:tc>
          <w:tcPr>
            <w:tcW w:w="4140" w:type="dxa"/>
            <w:tcBorders>
              <w:top w:val="single" w:sz="4" w:space="0" w:color="auto"/>
              <w:left w:val="single" w:sz="4" w:space="0" w:color="auto"/>
              <w:bottom w:val="double" w:sz="4" w:space="0" w:color="auto"/>
              <w:right w:val="single" w:sz="4" w:space="0" w:color="auto"/>
            </w:tcBorders>
          </w:tcPr>
          <w:p w:rsidR="00A765A4" w:rsidRDefault="00A765A4">
            <w:pPr>
              <w:rPr>
                <w:i/>
                <w:sz w:val="20"/>
                <w:szCs w:val="20"/>
              </w:rPr>
            </w:pPr>
          </w:p>
        </w:tc>
      </w:tr>
      <w:tr w:rsidR="00A765A4" w:rsidTr="00A765A4">
        <w:tc>
          <w:tcPr>
            <w:tcW w:w="2700" w:type="dxa"/>
            <w:tcBorders>
              <w:top w:val="double" w:sz="4" w:space="0" w:color="auto"/>
              <w:left w:val="single" w:sz="4" w:space="0" w:color="auto"/>
              <w:bottom w:val="double" w:sz="4" w:space="0" w:color="auto"/>
              <w:right w:val="single" w:sz="4" w:space="0" w:color="auto"/>
            </w:tcBorders>
            <w:hideMark/>
          </w:tcPr>
          <w:p w:rsidR="00A765A4" w:rsidRDefault="00A765A4">
            <w:pPr>
              <w:rPr>
                <w:i/>
                <w:sz w:val="20"/>
                <w:szCs w:val="20"/>
              </w:rPr>
            </w:pPr>
            <w:r>
              <w:rPr>
                <w:i/>
                <w:sz w:val="20"/>
                <w:szCs w:val="20"/>
              </w:rPr>
              <w:t>Other attributes</w:t>
            </w:r>
          </w:p>
        </w:tc>
        <w:tc>
          <w:tcPr>
            <w:tcW w:w="4140" w:type="dxa"/>
            <w:tcBorders>
              <w:top w:val="double" w:sz="4" w:space="0" w:color="auto"/>
              <w:left w:val="single" w:sz="4" w:space="0" w:color="auto"/>
              <w:bottom w:val="double" w:sz="4" w:space="0" w:color="auto"/>
              <w:right w:val="single" w:sz="4" w:space="0" w:color="auto"/>
            </w:tcBorders>
          </w:tcPr>
          <w:p w:rsidR="00A765A4" w:rsidRDefault="00A765A4">
            <w:pPr>
              <w:rPr>
                <w:i/>
                <w:sz w:val="20"/>
                <w:szCs w:val="20"/>
              </w:rPr>
            </w:pPr>
          </w:p>
        </w:tc>
      </w:tr>
      <w:tr w:rsidR="00A765A4" w:rsidTr="00A765A4">
        <w:tc>
          <w:tcPr>
            <w:tcW w:w="2700" w:type="dxa"/>
            <w:tcBorders>
              <w:top w:val="double" w:sz="4" w:space="0" w:color="auto"/>
              <w:left w:val="single" w:sz="4" w:space="0" w:color="auto"/>
              <w:bottom w:val="single" w:sz="4" w:space="0" w:color="auto"/>
              <w:right w:val="single" w:sz="4" w:space="0" w:color="auto"/>
            </w:tcBorders>
            <w:hideMark/>
          </w:tcPr>
          <w:p w:rsidR="00A765A4" w:rsidRDefault="00A765A4">
            <w:pPr>
              <w:rPr>
                <w:sz w:val="20"/>
                <w:szCs w:val="20"/>
              </w:rPr>
            </w:pPr>
            <w:r>
              <w:rPr>
                <w:sz w:val="20"/>
                <w:szCs w:val="20"/>
              </w:rPr>
              <w:t>Nouns that are not entities:</w:t>
            </w:r>
          </w:p>
        </w:tc>
        <w:tc>
          <w:tcPr>
            <w:tcW w:w="4140" w:type="dxa"/>
            <w:tcBorders>
              <w:top w:val="double" w:sz="4" w:space="0" w:color="auto"/>
              <w:left w:val="single" w:sz="4" w:space="0" w:color="auto"/>
              <w:bottom w:val="single" w:sz="4" w:space="0" w:color="auto"/>
              <w:right w:val="single" w:sz="4" w:space="0" w:color="auto"/>
            </w:tcBorders>
          </w:tcPr>
          <w:p w:rsidR="00A765A4" w:rsidRDefault="00A765A4">
            <w:pPr>
              <w:rPr>
                <w:i/>
                <w:sz w:val="20"/>
                <w:szCs w:val="20"/>
              </w:rPr>
            </w:pPr>
          </w:p>
        </w:tc>
      </w:tr>
    </w:tbl>
    <w:p w:rsidR="00A765A4" w:rsidRDefault="00A765A4" w:rsidP="00A765A4">
      <w:pPr>
        <w:rPr>
          <w:b/>
          <w:sz w:val="20"/>
          <w:szCs w:val="20"/>
        </w:rPr>
      </w:pPr>
    </w:p>
    <w:p w:rsidR="00A765A4" w:rsidRDefault="00A765A4" w:rsidP="00A765A4">
      <w:pPr>
        <w:rPr>
          <w:sz w:val="20"/>
          <w:szCs w:val="20"/>
        </w:rPr>
      </w:pPr>
    </w:p>
    <w:p w:rsidR="00A765A4" w:rsidRDefault="00A765A4" w:rsidP="00245EAE"/>
    <w:sectPr w:rsidR="00A765A4" w:rsidSect="00924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360"/>
    <w:multiLevelType w:val="hybridMultilevel"/>
    <w:tmpl w:val="AA74D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E7749B"/>
    <w:multiLevelType w:val="hybridMultilevel"/>
    <w:tmpl w:val="589A9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C5E6B1B"/>
    <w:multiLevelType w:val="hybridMultilevel"/>
    <w:tmpl w:val="4572AA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D8E49B3"/>
    <w:multiLevelType w:val="hybridMultilevel"/>
    <w:tmpl w:val="558086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B55819"/>
    <w:multiLevelType w:val="hybridMultilevel"/>
    <w:tmpl w:val="186C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A73083"/>
    <w:multiLevelType w:val="hybridMultilevel"/>
    <w:tmpl w:val="8EBAE94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8855D1A"/>
    <w:multiLevelType w:val="hybridMultilevel"/>
    <w:tmpl w:val="62025DEC"/>
    <w:lvl w:ilvl="0" w:tplc="04090001">
      <w:start w:val="1"/>
      <w:numFmt w:val="bullet"/>
      <w:lvlText w:val=""/>
      <w:lvlJc w:val="left"/>
      <w:pPr>
        <w:ind w:left="720" w:hanging="360"/>
      </w:pPr>
      <w:rPr>
        <w:rFonts w:ascii="Symbol" w:hAnsi="Symbol" w:hint="default"/>
      </w:rPr>
    </w:lvl>
    <w:lvl w:ilvl="1" w:tplc="D69EE93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AzMzE1NLcAEqaGFko6SsGpxcWZ+XkgBRa1AAl/NdksAAAA"/>
  </w:docVars>
  <w:rsids>
    <w:rsidRoot w:val="008E3915"/>
    <w:rsid w:val="00001362"/>
    <w:rsid w:val="000062A8"/>
    <w:rsid w:val="000075A2"/>
    <w:rsid w:val="00041BC3"/>
    <w:rsid w:val="00077CE7"/>
    <w:rsid w:val="0011052D"/>
    <w:rsid w:val="00117021"/>
    <w:rsid w:val="00150687"/>
    <w:rsid w:val="00152382"/>
    <w:rsid w:val="00166A11"/>
    <w:rsid w:val="0019691C"/>
    <w:rsid w:val="001F403C"/>
    <w:rsid w:val="00230069"/>
    <w:rsid w:val="00245EAE"/>
    <w:rsid w:val="002566B7"/>
    <w:rsid w:val="0027284D"/>
    <w:rsid w:val="00284A30"/>
    <w:rsid w:val="003130D3"/>
    <w:rsid w:val="0031528A"/>
    <w:rsid w:val="0031658A"/>
    <w:rsid w:val="00344BDC"/>
    <w:rsid w:val="00394A33"/>
    <w:rsid w:val="003A2682"/>
    <w:rsid w:val="003B1162"/>
    <w:rsid w:val="00411AC4"/>
    <w:rsid w:val="00461D3B"/>
    <w:rsid w:val="00471DF6"/>
    <w:rsid w:val="00482571"/>
    <w:rsid w:val="004E2140"/>
    <w:rsid w:val="00533340"/>
    <w:rsid w:val="00567D0E"/>
    <w:rsid w:val="005F04C1"/>
    <w:rsid w:val="006828D9"/>
    <w:rsid w:val="006B4458"/>
    <w:rsid w:val="007004DF"/>
    <w:rsid w:val="007601FC"/>
    <w:rsid w:val="00783BF1"/>
    <w:rsid w:val="007D17EF"/>
    <w:rsid w:val="007E310F"/>
    <w:rsid w:val="007F6B55"/>
    <w:rsid w:val="00882DB9"/>
    <w:rsid w:val="008B6B7B"/>
    <w:rsid w:val="008E3915"/>
    <w:rsid w:val="009245F2"/>
    <w:rsid w:val="009606C4"/>
    <w:rsid w:val="00A044A2"/>
    <w:rsid w:val="00A765A4"/>
    <w:rsid w:val="00AE2A40"/>
    <w:rsid w:val="00BE6A2D"/>
    <w:rsid w:val="00C436EF"/>
    <w:rsid w:val="00C84494"/>
    <w:rsid w:val="00C96BC8"/>
    <w:rsid w:val="00CB422D"/>
    <w:rsid w:val="00D34B4C"/>
    <w:rsid w:val="00D35822"/>
    <w:rsid w:val="00D4333C"/>
    <w:rsid w:val="00D56C08"/>
    <w:rsid w:val="00DB712F"/>
    <w:rsid w:val="00E63ED3"/>
    <w:rsid w:val="00EA6D8A"/>
    <w:rsid w:val="00EC6D9F"/>
    <w:rsid w:val="00ED13CC"/>
    <w:rsid w:val="00F24214"/>
    <w:rsid w:val="00F46289"/>
    <w:rsid w:val="00F553A5"/>
    <w:rsid w:val="00F666C0"/>
    <w:rsid w:val="00F73624"/>
    <w:rsid w:val="00F85F64"/>
    <w:rsid w:val="00FE263C"/>
    <w:rsid w:val="00FF1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9BA676-CF96-43D7-9154-60104DB9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712F"/>
    <w:pPr>
      <w:spacing w:after="120" w:line="240" w:lineRule="auto"/>
      <w:contextualSpacing/>
      <w:jc w:val="center"/>
    </w:pPr>
    <w:rPr>
      <w:rFonts w:asciiTheme="majorHAnsi" w:hAnsiTheme="majorHAnsi"/>
      <w:b/>
      <w:sz w:val="28"/>
      <w:szCs w:val="24"/>
    </w:rPr>
  </w:style>
  <w:style w:type="character" w:customStyle="1" w:styleId="TitleChar">
    <w:name w:val="Title Char"/>
    <w:basedOn w:val="DefaultParagraphFont"/>
    <w:link w:val="Title"/>
    <w:rsid w:val="00DB712F"/>
    <w:rPr>
      <w:rFonts w:asciiTheme="majorHAnsi" w:hAnsiTheme="majorHAnsi"/>
      <w:b/>
      <w:sz w:val="28"/>
      <w:szCs w:val="24"/>
    </w:rPr>
  </w:style>
  <w:style w:type="paragraph" w:styleId="ListParagraph">
    <w:name w:val="List Paragraph"/>
    <w:basedOn w:val="Normal"/>
    <w:uiPriority w:val="34"/>
    <w:qFormat/>
    <w:rsid w:val="00DB712F"/>
    <w:pPr>
      <w:spacing w:line="240" w:lineRule="auto"/>
      <w:ind w:left="720"/>
      <w:contextualSpacing/>
    </w:pPr>
    <w:rPr>
      <w:sz w:val="24"/>
      <w:szCs w:val="24"/>
    </w:rPr>
  </w:style>
  <w:style w:type="table" w:styleId="TableGrid">
    <w:name w:val="Table Grid"/>
    <w:basedOn w:val="TableNormal"/>
    <w:uiPriority w:val="39"/>
    <w:rsid w:val="00F66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CEFE1-E76B-41D1-8392-011FD44E7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gongj.06@gmail.com</cp:lastModifiedBy>
  <cp:revision>66</cp:revision>
  <dcterms:created xsi:type="dcterms:W3CDTF">2011-07-19T00:33:00Z</dcterms:created>
  <dcterms:modified xsi:type="dcterms:W3CDTF">2018-01-16T22:02:00Z</dcterms:modified>
</cp:coreProperties>
</file>