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4A" w:rsidRDefault="003A094A" w:rsidP="00F300C7">
      <w:pPr>
        <w:jc w:val="center"/>
        <w:rPr>
          <w:rFonts w:ascii="Georgia" w:hAnsi="Georgia"/>
          <w:b/>
          <w:color w:val="006600"/>
          <w:sz w:val="40"/>
        </w:rPr>
      </w:pPr>
      <w:r w:rsidRPr="003A094A">
        <w:rPr>
          <w:rFonts w:ascii="Georgia" w:hAnsi="Georgia"/>
          <w:b/>
          <w:color w:val="006600"/>
          <w:sz w:val="40"/>
        </w:rPr>
        <w:t>Data Destruction Policy</w:t>
      </w:r>
    </w:p>
    <w:p w:rsidR="00E40A2A" w:rsidRDefault="00F300C7" w:rsidP="00E40A2A">
      <w:pPr>
        <w:pStyle w:val="ListParagraph"/>
        <w:numPr>
          <w:ilvl w:val="0"/>
          <w:numId w:val="4"/>
        </w:numPr>
        <w:ind w:left="0"/>
        <w:rPr>
          <w:rFonts w:ascii="Georgia" w:hAnsi="Georgia"/>
          <w:b/>
          <w:color w:val="006600"/>
          <w:sz w:val="28"/>
        </w:rPr>
      </w:pPr>
      <w:r>
        <w:rPr>
          <w:rFonts w:ascii="Georgia" w:hAnsi="Georgia"/>
          <w:b/>
          <w:color w:val="006600"/>
          <w:sz w:val="28"/>
        </w:rPr>
        <w:t>INTRODUCTION:</w:t>
      </w:r>
    </w:p>
    <w:p w:rsidR="004C1300" w:rsidRDefault="00FC7993" w:rsidP="004C1300">
      <w:pPr>
        <w:spacing w:line="276" w:lineRule="auto"/>
        <w:rPr>
          <w:rFonts w:ascii="Georgia" w:hAnsi="Georgia"/>
          <w:sz w:val="24"/>
        </w:rPr>
      </w:pPr>
      <w:r>
        <w:rPr>
          <w:rFonts w:ascii="Georgia" w:hAnsi="Georgia"/>
          <w:b/>
          <w:color w:val="006600"/>
          <w:sz w:val="28"/>
        </w:rPr>
        <w:t xml:space="preserve">     </w:t>
      </w:r>
      <w:r>
        <w:rPr>
          <w:rFonts w:ascii="Georgia" w:hAnsi="Georgia"/>
          <w:sz w:val="24"/>
        </w:rPr>
        <w:t>As one of the leading providers of healthcare goods and services in the region, we all must abide by various</w:t>
      </w:r>
      <w:r w:rsidR="003627CF">
        <w:rPr>
          <w:rFonts w:ascii="Georgia" w:hAnsi="Georgia"/>
          <w:sz w:val="24"/>
        </w:rPr>
        <w:t xml:space="preserve"> compliance regulations.  </w:t>
      </w:r>
      <w:r w:rsidR="0020403A">
        <w:rPr>
          <w:rFonts w:ascii="Georgia" w:hAnsi="Georgia"/>
          <w:sz w:val="24"/>
        </w:rPr>
        <w:t xml:space="preserve">The nature of our work qualifies Sprenger as a covered entity under HIPAA, as well as </w:t>
      </w:r>
      <w:r w:rsidR="004C1300">
        <w:rPr>
          <w:rFonts w:ascii="Georgia" w:hAnsi="Georgia"/>
          <w:sz w:val="24"/>
        </w:rPr>
        <w:t xml:space="preserve">HITECH and </w:t>
      </w:r>
      <w:r w:rsidR="0020403A">
        <w:rPr>
          <w:rFonts w:ascii="Georgia" w:hAnsi="Georgia"/>
          <w:sz w:val="24"/>
        </w:rPr>
        <w:t xml:space="preserve">HITRUST.  </w:t>
      </w:r>
      <w:r w:rsidR="003627CF">
        <w:rPr>
          <w:rFonts w:ascii="Georgia" w:hAnsi="Georgia"/>
          <w:sz w:val="24"/>
        </w:rPr>
        <w:t>E</w:t>
      </w:r>
      <w:r>
        <w:rPr>
          <w:rFonts w:ascii="Georgia" w:hAnsi="Georgia"/>
          <w:sz w:val="24"/>
        </w:rPr>
        <w:t>ach member of our team</w:t>
      </w:r>
      <w:r w:rsidR="003627CF">
        <w:rPr>
          <w:rFonts w:ascii="Georgia" w:hAnsi="Georgia"/>
          <w:sz w:val="24"/>
        </w:rPr>
        <w:t xml:space="preserve"> on a daily basis handles Personally Identifiable Information (PII)</w:t>
      </w:r>
      <w:r w:rsidR="004C1300">
        <w:rPr>
          <w:rFonts w:ascii="Georgia" w:hAnsi="Georgia"/>
          <w:sz w:val="24"/>
        </w:rPr>
        <w:t xml:space="preserve"> and </w:t>
      </w:r>
      <w:r w:rsidR="004C1300">
        <w:rPr>
          <w:rFonts w:ascii="Georgia" w:hAnsi="Georgia"/>
          <w:sz w:val="24"/>
        </w:rPr>
        <w:t>Protected Health Information (PHI)</w:t>
      </w:r>
      <w:r w:rsidR="004C1300">
        <w:rPr>
          <w:rFonts w:ascii="Georgia" w:hAnsi="Georgia"/>
          <w:sz w:val="24"/>
        </w:rPr>
        <w:t>;</w:t>
      </w:r>
      <w:r w:rsidR="003627CF">
        <w:rPr>
          <w:rFonts w:ascii="Georgia" w:hAnsi="Georgia"/>
          <w:sz w:val="24"/>
        </w:rPr>
        <w:t xml:space="preserve"> as such</w:t>
      </w:r>
      <w:r w:rsidR="004C1300">
        <w:rPr>
          <w:rFonts w:ascii="Georgia" w:hAnsi="Georgia"/>
          <w:sz w:val="24"/>
        </w:rPr>
        <w:t xml:space="preserve">, we must abide by </w:t>
      </w:r>
      <w:r w:rsidR="0020403A">
        <w:rPr>
          <w:rFonts w:ascii="Georgia" w:hAnsi="Georgia"/>
          <w:sz w:val="24"/>
        </w:rPr>
        <w:t>regulations</w:t>
      </w:r>
      <w:r w:rsidR="003627CF">
        <w:rPr>
          <w:rFonts w:ascii="Georgia" w:hAnsi="Georgia"/>
          <w:sz w:val="24"/>
        </w:rPr>
        <w:t xml:space="preserve"> with regard to the destruction and disposal of this information. </w:t>
      </w:r>
      <w:r w:rsidR="004C1300">
        <w:rPr>
          <w:rFonts w:ascii="Georgia" w:hAnsi="Georgia"/>
          <w:sz w:val="24"/>
        </w:rPr>
        <w:t xml:space="preserve"> </w:t>
      </w:r>
    </w:p>
    <w:p w:rsidR="004C1300" w:rsidRDefault="004C1300" w:rsidP="00E2280C">
      <w:pPr>
        <w:spacing w:line="276" w:lineRule="auto"/>
        <w:rPr>
          <w:rFonts w:ascii="Georgia" w:hAnsi="Georgia"/>
          <w:sz w:val="24"/>
        </w:rPr>
      </w:pPr>
      <w:r>
        <w:rPr>
          <w:rFonts w:ascii="Georgia" w:hAnsi="Georgia"/>
          <w:sz w:val="24"/>
        </w:rPr>
        <w:t xml:space="preserve">For further details on the definition of </w:t>
      </w:r>
      <w:r>
        <w:rPr>
          <w:rFonts w:ascii="Georgia" w:hAnsi="Georgia"/>
          <w:sz w:val="24"/>
        </w:rPr>
        <w:t>PII and PHI</w:t>
      </w:r>
      <w:r>
        <w:rPr>
          <w:rFonts w:ascii="Georgia" w:hAnsi="Georgia"/>
          <w:sz w:val="24"/>
        </w:rPr>
        <w:t>, refer to the “</w:t>
      </w:r>
      <w:r w:rsidRPr="0021049D">
        <w:rPr>
          <w:rFonts w:ascii="Georgia" w:hAnsi="Georgia"/>
          <w:i/>
          <w:sz w:val="24"/>
        </w:rPr>
        <w:t>PII &amp; PHI – Enterprise Data Classification</w:t>
      </w:r>
      <w:r>
        <w:rPr>
          <w:rFonts w:ascii="Georgia" w:hAnsi="Georgia"/>
          <w:sz w:val="24"/>
        </w:rPr>
        <w:t>” policy located within EPIC in the Knowledge Management portal.</w:t>
      </w:r>
    </w:p>
    <w:p w:rsidR="00946695" w:rsidRDefault="0021049D" w:rsidP="00E2280C">
      <w:pPr>
        <w:spacing w:line="276" w:lineRule="auto"/>
        <w:rPr>
          <w:rFonts w:ascii="Georgia" w:hAnsi="Georgia"/>
          <w:sz w:val="24"/>
        </w:rPr>
      </w:pPr>
      <w:r>
        <w:rPr>
          <w:rFonts w:ascii="Georgia" w:hAnsi="Georgia"/>
          <w:sz w:val="24"/>
        </w:rPr>
        <w:t xml:space="preserve">Sprenger management worked together closely in designing this policy to educate staff and stakeholders of the processes in destroying </w:t>
      </w:r>
      <w:r w:rsidR="004C1300">
        <w:rPr>
          <w:rFonts w:ascii="Georgia" w:hAnsi="Georgia"/>
          <w:sz w:val="24"/>
        </w:rPr>
        <w:t>PII and PHI</w:t>
      </w:r>
      <w:r>
        <w:rPr>
          <w:rFonts w:ascii="Georgia" w:hAnsi="Georgia"/>
          <w:sz w:val="24"/>
        </w:rPr>
        <w:t xml:space="preserve"> and the potential ramifications and societal impact if such processes are not followed.  </w:t>
      </w:r>
    </w:p>
    <w:p w:rsidR="0021049D" w:rsidRDefault="0021049D" w:rsidP="00E2280C">
      <w:pPr>
        <w:spacing w:line="276" w:lineRule="auto"/>
        <w:rPr>
          <w:rFonts w:ascii="Georgia" w:hAnsi="Georgia"/>
          <w:sz w:val="24"/>
        </w:rPr>
      </w:pPr>
      <w:r>
        <w:rPr>
          <w:rFonts w:ascii="Georgia" w:hAnsi="Georgia"/>
          <w:sz w:val="24"/>
        </w:rPr>
        <w:t>The “Enterprise – Da</w:t>
      </w:r>
      <w:r w:rsidR="004C1300">
        <w:rPr>
          <w:rFonts w:ascii="Georgia" w:hAnsi="Georgia"/>
          <w:sz w:val="24"/>
        </w:rPr>
        <w:t>ta Destruction Policy – PII/PH</w:t>
      </w:r>
      <w:r>
        <w:rPr>
          <w:rFonts w:ascii="Georgia" w:hAnsi="Georgia"/>
          <w:sz w:val="24"/>
        </w:rPr>
        <w:t>I” was established to accomplish the following:</w:t>
      </w:r>
    </w:p>
    <w:p w:rsidR="003D1C9B" w:rsidRPr="0021049D" w:rsidRDefault="003D1C9B" w:rsidP="00E2280C">
      <w:pPr>
        <w:pStyle w:val="ListParagraph"/>
        <w:numPr>
          <w:ilvl w:val="0"/>
          <w:numId w:val="6"/>
        </w:numPr>
        <w:spacing w:line="276" w:lineRule="auto"/>
        <w:rPr>
          <w:rFonts w:ascii="Georgia" w:hAnsi="Georgia"/>
          <w:color w:val="006600"/>
          <w:sz w:val="24"/>
        </w:rPr>
      </w:pPr>
      <w:r>
        <w:rPr>
          <w:rFonts w:ascii="Georgia" w:hAnsi="Georgia"/>
          <w:color w:val="006600"/>
          <w:sz w:val="24"/>
        </w:rPr>
        <w:t xml:space="preserve">Educate staff on common definitions and terms as it relates to </w:t>
      </w:r>
      <w:r w:rsidR="004C1300">
        <w:rPr>
          <w:rFonts w:ascii="Georgia" w:hAnsi="Georgia"/>
          <w:color w:val="006600"/>
          <w:sz w:val="24"/>
        </w:rPr>
        <w:t>PII and PHI</w:t>
      </w:r>
    </w:p>
    <w:p w:rsidR="00946695" w:rsidRDefault="0021049D" w:rsidP="00E2280C">
      <w:pPr>
        <w:pStyle w:val="ListParagraph"/>
        <w:numPr>
          <w:ilvl w:val="0"/>
          <w:numId w:val="6"/>
        </w:numPr>
        <w:spacing w:line="276" w:lineRule="auto"/>
        <w:rPr>
          <w:rFonts w:ascii="Georgia" w:hAnsi="Georgia"/>
          <w:color w:val="006600"/>
          <w:sz w:val="24"/>
        </w:rPr>
      </w:pPr>
      <w:r w:rsidRPr="0021049D">
        <w:rPr>
          <w:rFonts w:ascii="Georgia" w:hAnsi="Georgia"/>
          <w:color w:val="006600"/>
          <w:sz w:val="24"/>
        </w:rPr>
        <w:t xml:space="preserve">Educate staff </w:t>
      </w:r>
      <w:r w:rsidR="004C1300">
        <w:rPr>
          <w:rFonts w:ascii="Georgia" w:hAnsi="Georgia"/>
          <w:color w:val="006600"/>
          <w:sz w:val="24"/>
        </w:rPr>
        <w:t xml:space="preserve">about </w:t>
      </w:r>
      <w:r w:rsidRPr="0021049D">
        <w:rPr>
          <w:rFonts w:ascii="Georgia" w:hAnsi="Georgia"/>
          <w:color w:val="006600"/>
          <w:sz w:val="24"/>
        </w:rPr>
        <w:t xml:space="preserve">how to appropriately destroy/dispose of </w:t>
      </w:r>
      <w:r w:rsidR="004C1300">
        <w:rPr>
          <w:rFonts w:ascii="Georgia" w:hAnsi="Georgia"/>
          <w:color w:val="006600"/>
          <w:sz w:val="24"/>
        </w:rPr>
        <w:t>PII and PHI</w:t>
      </w:r>
    </w:p>
    <w:p w:rsidR="003D1C9B" w:rsidRDefault="003D1C9B" w:rsidP="00E2280C">
      <w:pPr>
        <w:pStyle w:val="ListParagraph"/>
        <w:numPr>
          <w:ilvl w:val="0"/>
          <w:numId w:val="6"/>
        </w:numPr>
        <w:spacing w:line="276" w:lineRule="auto"/>
        <w:rPr>
          <w:rFonts w:ascii="Georgia" w:hAnsi="Georgia"/>
          <w:color w:val="006600"/>
          <w:sz w:val="24"/>
        </w:rPr>
      </w:pPr>
      <w:r>
        <w:rPr>
          <w:rFonts w:ascii="Georgia" w:hAnsi="Georgia"/>
          <w:color w:val="006600"/>
          <w:sz w:val="24"/>
        </w:rPr>
        <w:t xml:space="preserve">Dictate roles and responsibilities of all staff when destroying/disposing of </w:t>
      </w:r>
      <w:r w:rsidR="004C1300">
        <w:rPr>
          <w:rFonts w:ascii="Georgia" w:hAnsi="Georgia"/>
          <w:color w:val="006600"/>
          <w:sz w:val="24"/>
        </w:rPr>
        <w:t>PII and PHI</w:t>
      </w:r>
    </w:p>
    <w:p w:rsidR="003D1C9B" w:rsidRDefault="003D1C9B" w:rsidP="00E2280C">
      <w:pPr>
        <w:pStyle w:val="ListParagraph"/>
        <w:numPr>
          <w:ilvl w:val="0"/>
          <w:numId w:val="6"/>
        </w:numPr>
        <w:spacing w:line="276" w:lineRule="auto"/>
        <w:rPr>
          <w:rFonts w:ascii="Georgia" w:hAnsi="Georgia"/>
          <w:color w:val="006600"/>
          <w:sz w:val="24"/>
        </w:rPr>
      </w:pPr>
      <w:r>
        <w:rPr>
          <w:rFonts w:ascii="Georgia" w:hAnsi="Georgia"/>
          <w:color w:val="006600"/>
          <w:sz w:val="24"/>
        </w:rPr>
        <w:t xml:space="preserve">Identify specific types of </w:t>
      </w:r>
      <w:r w:rsidR="004C1300">
        <w:rPr>
          <w:rFonts w:ascii="Georgia" w:hAnsi="Georgia"/>
          <w:color w:val="006600"/>
          <w:sz w:val="24"/>
        </w:rPr>
        <w:t>PII and PHI</w:t>
      </w:r>
    </w:p>
    <w:p w:rsidR="003D1C9B" w:rsidRDefault="003D1C9B" w:rsidP="00E2280C">
      <w:pPr>
        <w:pStyle w:val="ListParagraph"/>
        <w:numPr>
          <w:ilvl w:val="0"/>
          <w:numId w:val="6"/>
        </w:numPr>
        <w:spacing w:line="276" w:lineRule="auto"/>
        <w:rPr>
          <w:rFonts w:ascii="Georgia" w:hAnsi="Georgia"/>
          <w:color w:val="006600"/>
          <w:sz w:val="24"/>
        </w:rPr>
      </w:pPr>
      <w:r>
        <w:rPr>
          <w:rFonts w:ascii="Georgia" w:hAnsi="Georgia"/>
          <w:color w:val="006600"/>
          <w:sz w:val="24"/>
        </w:rPr>
        <w:t xml:space="preserve">Reference material for the appropriate destruction of </w:t>
      </w:r>
      <w:r w:rsidR="004C1300">
        <w:rPr>
          <w:rFonts w:ascii="Georgia" w:hAnsi="Georgia"/>
          <w:color w:val="006600"/>
          <w:sz w:val="24"/>
        </w:rPr>
        <w:t>PII and PHI</w:t>
      </w:r>
    </w:p>
    <w:p w:rsidR="003D1C9B" w:rsidRDefault="004C1300" w:rsidP="00E2280C">
      <w:pPr>
        <w:pStyle w:val="ListParagraph"/>
        <w:numPr>
          <w:ilvl w:val="0"/>
          <w:numId w:val="6"/>
        </w:numPr>
        <w:spacing w:line="276" w:lineRule="auto"/>
        <w:rPr>
          <w:rFonts w:ascii="Georgia" w:hAnsi="Georgia"/>
          <w:color w:val="006600"/>
          <w:sz w:val="24"/>
        </w:rPr>
      </w:pPr>
      <w:r>
        <w:rPr>
          <w:rFonts w:ascii="Georgia" w:hAnsi="Georgia"/>
          <w:color w:val="006600"/>
          <w:sz w:val="24"/>
        </w:rPr>
        <w:t xml:space="preserve">Establish internal controls </w:t>
      </w:r>
      <w:r w:rsidR="003D1C9B">
        <w:rPr>
          <w:rFonts w:ascii="Georgia" w:hAnsi="Georgia"/>
          <w:color w:val="006600"/>
          <w:sz w:val="24"/>
        </w:rPr>
        <w:t xml:space="preserve">to manage the risk associated with inappropriate destruction of </w:t>
      </w:r>
      <w:r>
        <w:rPr>
          <w:rFonts w:ascii="Georgia" w:hAnsi="Georgia"/>
          <w:color w:val="006600"/>
          <w:sz w:val="24"/>
        </w:rPr>
        <w:t>PII and PHI</w:t>
      </w:r>
      <w:r w:rsidR="003D1C9B">
        <w:rPr>
          <w:rFonts w:ascii="Georgia" w:hAnsi="Georgia"/>
          <w:color w:val="006600"/>
          <w:sz w:val="24"/>
        </w:rPr>
        <w:t xml:space="preserve"> and the staff cham</w:t>
      </w:r>
      <w:r>
        <w:rPr>
          <w:rFonts w:ascii="Georgia" w:hAnsi="Georgia"/>
          <w:color w:val="006600"/>
          <w:sz w:val="24"/>
        </w:rPr>
        <w:t>pions to seek for guidance</w:t>
      </w:r>
    </w:p>
    <w:p w:rsidR="003D1C9B" w:rsidRDefault="003D1C9B" w:rsidP="00E2280C">
      <w:pPr>
        <w:pStyle w:val="ListParagraph"/>
        <w:numPr>
          <w:ilvl w:val="0"/>
          <w:numId w:val="6"/>
        </w:numPr>
        <w:spacing w:line="276" w:lineRule="auto"/>
        <w:rPr>
          <w:rFonts w:ascii="Georgia" w:hAnsi="Georgia"/>
          <w:color w:val="006600"/>
          <w:sz w:val="24"/>
        </w:rPr>
      </w:pPr>
      <w:r>
        <w:rPr>
          <w:rFonts w:ascii="Georgia" w:hAnsi="Georgia"/>
          <w:color w:val="006600"/>
          <w:sz w:val="24"/>
        </w:rPr>
        <w:t>Ov</w:t>
      </w:r>
      <w:r w:rsidR="004C1300">
        <w:rPr>
          <w:rFonts w:ascii="Georgia" w:hAnsi="Georgia"/>
          <w:color w:val="006600"/>
          <w:sz w:val="24"/>
        </w:rPr>
        <w:t>ersight structure of the policy</w:t>
      </w:r>
    </w:p>
    <w:p w:rsidR="003D1C9B" w:rsidRDefault="003D1C9B" w:rsidP="00E2280C">
      <w:pPr>
        <w:pStyle w:val="ListParagraph"/>
        <w:numPr>
          <w:ilvl w:val="0"/>
          <w:numId w:val="6"/>
        </w:numPr>
        <w:spacing w:line="276" w:lineRule="auto"/>
        <w:rPr>
          <w:rFonts w:ascii="Georgia" w:hAnsi="Georgia"/>
          <w:color w:val="006600"/>
          <w:sz w:val="24"/>
        </w:rPr>
      </w:pPr>
      <w:r>
        <w:rPr>
          <w:rFonts w:ascii="Georgia" w:hAnsi="Georgia"/>
          <w:color w:val="006600"/>
          <w:sz w:val="24"/>
        </w:rPr>
        <w:t xml:space="preserve">Educate staff on third-party vendor management and </w:t>
      </w:r>
      <w:r w:rsidR="004C1300">
        <w:rPr>
          <w:rFonts w:ascii="Georgia" w:hAnsi="Georgia"/>
          <w:color w:val="006600"/>
          <w:sz w:val="24"/>
        </w:rPr>
        <w:t xml:space="preserve">vendor </w:t>
      </w:r>
      <w:r>
        <w:rPr>
          <w:rFonts w:ascii="Georgia" w:hAnsi="Georgia"/>
          <w:color w:val="006600"/>
          <w:sz w:val="24"/>
        </w:rPr>
        <w:t>responsibility as a busines</w:t>
      </w:r>
      <w:r w:rsidR="004C1300">
        <w:rPr>
          <w:rFonts w:ascii="Georgia" w:hAnsi="Georgia"/>
          <w:color w:val="006600"/>
          <w:sz w:val="24"/>
        </w:rPr>
        <w:t>s associate of a covered entity</w:t>
      </w:r>
    </w:p>
    <w:p w:rsidR="00946695" w:rsidRPr="004C1300" w:rsidRDefault="003D1C9B" w:rsidP="00F300C7">
      <w:pPr>
        <w:pStyle w:val="ListParagraph"/>
        <w:numPr>
          <w:ilvl w:val="0"/>
          <w:numId w:val="6"/>
        </w:numPr>
        <w:spacing w:line="276" w:lineRule="auto"/>
        <w:rPr>
          <w:rFonts w:ascii="Georgia" w:hAnsi="Georgia"/>
          <w:b/>
          <w:color w:val="006600"/>
          <w:sz w:val="28"/>
        </w:rPr>
      </w:pPr>
      <w:r w:rsidRPr="00E2280C">
        <w:rPr>
          <w:rFonts w:ascii="Georgia" w:hAnsi="Georgia"/>
          <w:color w:val="006600"/>
          <w:sz w:val="24"/>
        </w:rPr>
        <w:t xml:space="preserve">Provide internal and external resources for further details and guidance with regard to </w:t>
      </w:r>
      <w:r w:rsidR="004C1300">
        <w:rPr>
          <w:rFonts w:ascii="Georgia" w:hAnsi="Georgia"/>
          <w:color w:val="006600"/>
          <w:sz w:val="24"/>
        </w:rPr>
        <w:t>PII and PHI</w:t>
      </w:r>
    </w:p>
    <w:p w:rsidR="004C1300" w:rsidRPr="004C1300" w:rsidRDefault="004C1300" w:rsidP="004C1300">
      <w:pPr>
        <w:pStyle w:val="ListParagraph"/>
        <w:spacing w:line="276" w:lineRule="auto"/>
        <w:rPr>
          <w:rFonts w:ascii="Georgia" w:hAnsi="Georgia"/>
          <w:b/>
          <w:color w:val="006600"/>
          <w:sz w:val="28"/>
        </w:rPr>
      </w:pPr>
    </w:p>
    <w:p w:rsidR="00946695" w:rsidRDefault="00946695" w:rsidP="00946695">
      <w:pPr>
        <w:pStyle w:val="ListParagraph"/>
        <w:numPr>
          <w:ilvl w:val="0"/>
          <w:numId w:val="4"/>
        </w:numPr>
        <w:ind w:left="0"/>
        <w:rPr>
          <w:rFonts w:ascii="Georgia" w:hAnsi="Georgia"/>
          <w:b/>
          <w:color w:val="006600"/>
          <w:sz w:val="28"/>
        </w:rPr>
      </w:pPr>
      <w:r>
        <w:rPr>
          <w:rFonts w:ascii="Georgia" w:hAnsi="Georgia"/>
          <w:b/>
          <w:color w:val="006600"/>
          <w:sz w:val="28"/>
        </w:rPr>
        <w:lastRenderedPageBreak/>
        <w:t>DEFINITIONS:</w:t>
      </w:r>
    </w:p>
    <w:p w:rsidR="0020403A" w:rsidRDefault="0020403A" w:rsidP="0020403A">
      <w:pPr>
        <w:pStyle w:val="ListParagraph"/>
        <w:ind w:left="0"/>
        <w:rPr>
          <w:rFonts w:ascii="Georgia" w:hAnsi="Georgia"/>
          <w:b/>
          <w:color w:val="006600"/>
          <w:sz w:val="28"/>
        </w:rPr>
      </w:pPr>
    </w:p>
    <w:p w:rsidR="006F02C0" w:rsidRDefault="006F02C0" w:rsidP="0020403A">
      <w:pPr>
        <w:pStyle w:val="ListParagraph"/>
        <w:ind w:left="0"/>
        <w:rPr>
          <w:rFonts w:ascii="Georgia" w:hAnsi="Georgia"/>
          <w:sz w:val="24"/>
        </w:rPr>
      </w:pPr>
      <w:r>
        <w:rPr>
          <w:rFonts w:ascii="Georgia" w:hAnsi="Georgia"/>
          <w:b/>
          <w:color w:val="006600"/>
          <w:sz w:val="28"/>
        </w:rPr>
        <w:t xml:space="preserve">     </w:t>
      </w:r>
      <w:r>
        <w:rPr>
          <w:rFonts w:ascii="Georgia" w:hAnsi="Georgia"/>
          <w:sz w:val="24"/>
        </w:rPr>
        <w:t xml:space="preserve">In order to provide a single definition of key terms, this section will clearly define key terms used throughout this policy as well as terms that can be readily identified by all Sprenger personnel and stakeholders.  These key terms are adjusted </w:t>
      </w:r>
      <w:r w:rsidR="004C1300">
        <w:rPr>
          <w:rFonts w:ascii="Georgia" w:hAnsi="Georgia"/>
          <w:sz w:val="24"/>
        </w:rPr>
        <w:t>to be specific to Sprenger. W</w:t>
      </w:r>
      <w:r>
        <w:rPr>
          <w:rFonts w:ascii="Georgia" w:hAnsi="Georgia"/>
          <w:sz w:val="24"/>
        </w:rPr>
        <w:t>hole definitions as prescribed in guidance from The Department of Health and Human Services can be found in the “Internal and External Resources” section of this policy.</w:t>
      </w:r>
    </w:p>
    <w:p w:rsidR="006F02C0" w:rsidRDefault="006F02C0" w:rsidP="0020403A">
      <w:pPr>
        <w:pStyle w:val="ListParagraph"/>
        <w:ind w:left="0"/>
        <w:rPr>
          <w:rFonts w:ascii="Georgia" w:hAnsi="Georgia"/>
          <w:sz w:val="24"/>
        </w:rPr>
      </w:pPr>
    </w:p>
    <w:tbl>
      <w:tblPr>
        <w:tblStyle w:val="TableGrid"/>
        <w:tblW w:w="0" w:type="auto"/>
        <w:tblLook w:val="04A0" w:firstRow="1" w:lastRow="0" w:firstColumn="1" w:lastColumn="0" w:noHBand="0" w:noVBand="1"/>
      </w:tblPr>
      <w:tblGrid>
        <w:gridCol w:w="4675"/>
        <w:gridCol w:w="4675"/>
      </w:tblGrid>
      <w:tr w:rsidR="006F02C0" w:rsidTr="00BA6988">
        <w:tc>
          <w:tcPr>
            <w:tcW w:w="9350" w:type="dxa"/>
            <w:gridSpan w:val="2"/>
          </w:tcPr>
          <w:p w:rsidR="006F02C0" w:rsidRDefault="004C1300" w:rsidP="006F02C0">
            <w:pPr>
              <w:pStyle w:val="ListParagraph"/>
              <w:ind w:left="0"/>
              <w:jc w:val="center"/>
              <w:rPr>
                <w:rFonts w:ascii="Georgia" w:hAnsi="Georgia"/>
                <w:sz w:val="24"/>
              </w:rPr>
            </w:pPr>
            <w:r>
              <w:rPr>
                <w:rFonts w:ascii="Georgia" w:hAnsi="Georgia"/>
                <w:sz w:val="24"/>
              </w:rPr>
              <w:t>KEY TERMS</w:t>
            </w:r>
          </w:p>
        </w:tc>
      </w:tr>
      <w:tr w:rsidR="006F02C0" w:rsidTr="004C1300">
        <w:tc>
          <w:tcPr>
            <w:tcW w:w="4675" w:type="dxa"/>
            <w:vAlign w:val="center"/>
          </w:tcPr>
          <w:p w:rsidR="006F02C0" w:rsidRPr="006F02C0" w:rsidRDefault="006F02C0" w:rsidP="004C1300">
            <w:pPr>
              <w:pStyle w:val="ListParagraph"/>
              <w:spacing w:line="276" w:lineRule="auto"/>
              <w:ind w:left="0"/>
              <w:rPr>
                <w:rFonts w:ascii="Georgia" w:hAnsi="Georgia"/>
                <w:sz w:val="20"/>
              </w:rPr>
            </w:pPr>
            <w:r w:rsidRPr="006F02C0">
              <w:rPr>
                <w:rFonts w:ascii="Georgia" w:hAnsi="Georgia"/>
                <w:sz w:val="20"/>
              </w:rPr>
              <w:t>Personally Identifiable Information (PII)</w:t>
            </w:r>
          </w:p>
        </w:tc>
        <w:tc>
          <w:tcPr>
            <w:tcW w:w="4675" w:type="dxa"/>
          </w:tcPr>
          <w:p w:rsidR="006F02C0" w:rsidRPr="006F02C0" w:rsidRDefault="006F02C0" w:rsidP="00462962">
            <w:pPr>
              <w:pStyle w:val="ListParagraph"/>
              <w:spacing w:line="276" w:lineRule="auto"/>
              <w:ind w:left="0"/>
              <w:rPr>
                <w:rFonts w:ascii="Georgia" w:hAnsi="Georgia"/>
                <w:sz w:val="20"/>
              </w:rPr>
            </w:pPr>
            <w:r w:rsidRPr="006F02C0">
              <w:rPr>
                <w:rFonts w:ascii="Georgia" w:hAnsi="Georgia"/>
                <w:sz w:val="20"/>
              </w:rPr>
              <w:t xml:space="preserve">Any data that could potentially identify a specific individual who consumes any healthcare goods and services. </w:t>
            </w:r>
            <w:r>
              <w:rPr>
                <w:rFonts w:ascii="Georgia" w:hAnsi="Georgia"/>
                <w:sz w:val="20"/>
              </w:rPr>
              <w:t xml:space="preserve"> This data can be sensitive or </w:t>
            </w:r>
            <w:r w:rsidRPr="006F02C0">
              <w:rPr>
                <w:rFonts w:ascii="Georgia" w:hAnsi="Georgia"/>
                <w:sz w:val="20"/>
              </w:rPr>
              <w:t>non-sensitive in nature.</w:t>
            </w:r>
          </w:p>
        </w:tc>
      </w:tr>
      <w:tr w:rsidR="006F02C0" w:rsidTr="004C1300">
        <w:tc>
          <w:tcPr>
            <w:tcW w:w="4675" w:type="dxa"/>
            <w:vAlign w:val="center"/>
          </w:tcPr>
          <w:p w:rsidR="006F02C0" w:rsidRPr="006F02C0" w:rsidRDefault="006F02C0" w:rsidP="004C1300">
            <w:pPr>
              <w:pStyle w:val="ListParagraph"/>
              <w:spacing w:line="276" w:lineRule="auto"/>
              <w:ind w:left="0"/>
              <w:rPr>
                <w:rFonts w:ascii="Georgia" w:hAnsi="Georgia"/>
                <w:sz w:val="20"/>
              </w:rPr>
            </w:pPr>
            <w:r w:rsidRPr="006F02C0">
              <w:rPr>
                <w:rFonts w:ascii="Georgia" w:hAnsi="Georgia"/>
                <w:sz w:val="20"/>
              </w:rPr>
              <w:t>Protected Health Information (PHI)</w:t>
            </w:r>
          </w:p>
        </w:tc>
        <w:tc>
          <w:tcPr>
            <w:tcW w:w="4675" w:type="dxa"/>
          </w:tcPr>
          <w:p w:rsidR="006F02C0" w:rsidRPr="006F02C0" w:rsidRDefault="004C1300" w:rsidP="00462962">
            <w:pPr>
              <w:pStyle w:val="ListParagraph"/>
              <w:spacing w:line="276" w:lineRule="auto"/>
              <w:ind w:left="0"/>
              <w:rPr>
                <w:rFonts w:ascii="Georgia" w:hAnsi="Georgia"/>
                <w:sz w:val="20"/>
              </w:rPr>
            </w:pPr>
            <w:r>
              <w:rPr>
                <w:rFonts w:ascii="Georgia" w:hAnsi="Georgia"/>
                <w:sz w:val="20"/>
              </w:rPr>
              <w:t>Any data that refers to</w:t>
            </w:r>
            <w:r w:rsidR="006F02C0">
              <w:rPr>
                <w:rFonts w:ascii="Georgia" w:hAnsi="Georgia"/>
                <w:sz w:val="20"/>
              </w:rPr>
              <w:t xml:space="preserve"> patient data with regard to demographics, medical information, test and laboratory results, insurance information, diagnostics and any other data that a healthcare professional could potentially collect to identify an individual and determine care.</w:t>
            </w:r>
          </w:p>
        </w:tc>
      </w:tr>
      <w:tr w:rsidR="006F02C0" w:rsidTr="004C1300">
        <w:tc>
          <w:tcPr>
            <w:tcW w:w="4675" w:type="dxa"/>
            <w:vAlign w:val="center"/>
          </w:tcPr>
          <w:p w:rsidR="006F02C0" w:rsidRPr="006F02C0" w:rsidRDefault="006F02C0" w:rsidP="004C1300">
            <w:pPr>
              <w:pStyle w:val="ListParagraph"/>
              <w:spacing w:line="276" w:lineRule="auto"/>
              <w:ind w:left="0"/>
              <w:rPr>
                <w:rFonts w:ascii="Georgia" w:hAnsi="Georgia"/>
                <w:sz w:val="20"/>
              </w:rPr>
            </w:pPr>
            <w:r>
              <w:rPr>
                <w:rFonts w:ascii="Georgia" w:hAnsi="Georgia"/>
                <w:sz w:val="20"/>
              </w:rPr>
              <w:t>Health Insurance Portability and Accountability Act (HIPAA)</w:t>
            </w:r>
          </w:p>
        </w:tc>
        <w:tc>
          <w:tcPr>
            <w:tcW w:w="4675" w:type="dxa"/>
          </w:tcPr>
          <w:p w:rsidR="006F02C0" w:rsidRPr="006F02C0" w:rsidRDefault="004C1300" w:rsidP="00462962">
            <w:pPr>
              <w:pStyle w:val="ListParagraph"/>
              <w:spacing w:line="276" w:lineRule="auto"/>
              <w:ind w:left="0"/>
              <w:rPr>
                <w:rFonts w:ascii="Georgia" w:hAnsi="Georgia"/>
                <w:sz w:val="20"/>
              </w:rPr>
            </w:pPr>
            <w:r>
              <w:rPr>
                <w:rFonts w:ascii="Georgia" w:hAnsi="Georgia"/>
                <w:sz w:val="20"/>
              </w:rPr>
              <w:t>A l</w:t>
            </w:r>
            <w:r w:rsidR="006F02C0">
              <w:rPr>
                <w:rFonts w:ascii="Georgia" w:hAnsi="Georgia"/>
                <w:sz w:val="20"/>
              </w:rPr>
              <w:t>aw designed to provide privacy standards to protect patients’ medical records and other health information provided to health plans, doctors, insurers, hospitals and other providers of healthcare goods and services.</w:t>
            </w:r>
          </w:p>
        </w:tc>
      </w:tr>
      <w:tr w:rsidR="006F02C0" w:rsidTr="004C1300">
        <w:tc>
          <w:tcPr>
            <w:tcW w:w="4675" w:type="dxa"/>
            <w:vAlign w:val="center"/>
          </w:tcPr>
          <w:p w:rsidR="006F02C0" w:rsidRPr="006F02C0" w:rsidRDefault="006F02C0" w:rsidP="004C1300">
            <w:pPr>
              <w:pStyle w:val="ListParagraph"/>
              <w:spacing w:line="276" w:lineRule="auto"/>
              <w:ind w:left="0"/>
              <w:rPr>
                <w:rFonts w:ascii="Georgia" w:hAnsi="Georgia"/>
                <w:sz w:val="20"/>
              </w:rPr>
            </w:pPr>
            <w:r>
              <w:rPr>
                <w:rFonts w:ascii="Georgia" w:hAnsi="Georgia"/>
                <w:sz w:val="20"/>
              </w:rPr>
              <w:t>Health Information Technology for Economic and Clinical Health Act (HITECH)</w:t>
            </w:r>
          </w:p>
        </w:tc>
        <w:tc>
          <w:tcPr>
            <w:tcW w:w="4675" w:type="dxa"/>
          </w:tcPr>
          <w:p w:rsidR="006F02C0" w:rsidRPr="006F02C0" w:rsidRDefault="00E912B2" w:rsidP="00462962">
            <w:pPr>
              <w:pStyle w:val="ListParagraph"/>
              <w:spacing w:line="276" w:lineRule="auto"/>
              <w:ind w:left="0"/>
              <w:rPr>
                <w:rFonts w:ascii="Georgia" w:hAnsi="Georgia"/>
                <w:sz w:val="20"/>
              </w:rPr>
            </w:pPr>
            <w:r>
              <w:rPr>
                <w:rFonts w:ascii="Georgia" w:hAnsi="Georgia"/>
                <w:sz w:val="20"/>
              </w:rPr>
              <w:t>A law designed to stimulate and govern the meaningful use of electronic health records (EHR)</w:t>
            </w:r>
            <w:r w:rsidR="004C1300">
              <w:rPr>
                <w:rFonts w:ascii="Georgia" w:hAnsi="Georgia"/>
                <w:sz w:val="20"/>
              </w:rPr>
              <w:t>.</w:t>
            </w:r>
          </w:p>
        </w:tc>
      </w:tr>
      <w:tr w:rsidR="006F02C0" w:rsidTr="004C1300">
        <w:tc>
          <w:tcPr>
            <w:tcW w:w="4675" w:type="dxa"/>
            <w:vAlign w:val="center"/>
          </w:tcPr>
          <w:p w:rsidR="006F02C0" w:rsidRPr="006F02C0" w:rsidRDefault="00E912B2" w:rsidP="004C1300">
            <w:pPr>
              <w:pStyle w:val="ListParagraph"/>
              <w:spacing w:line="276" w:lineRule="auto"/>
              <w:ind w:left="0"/>
              <w:rPr>
                <w:rFonts w:ascii="Georgia" w:hAnsi="Georgia"/>
                <w:sz w:val="20"/>
              </w:rPr>
            </w:pPr>
            <w:r>
              <w:rPr>
                <w:rFonts w:ascii="Georgia" w:hAnsi="Georgia"/>
                <w:sz w:val="20"/>
              </w:rPr>
              <w:t>Health Information Trust Alliance (HITRUST)</w:t>
            </w:r>
            <w:r w:rsidR="00462962">
              <w:rPr>
                <w:rFonts w:ascii="Georgia" w:hAnsi="Georgia"/>
                <w:sz w:val="20"/>
              </w:rPr>
              <w:t xml:space="preserve"> CSF</w:t>
            </w:r>
          </w:p>
        </w:tc>
        <w:tc>
          <w:tcPr>
            <w:tcW w:w="4675" w:type="dxa"/>
          </w:tcPr>
          <w:p w:rsidR="006F02C0" w:rsidRPr="006F02C0" w:rsidRDefault="00462962" w:rsidP="00462962">
            <w:pPr>
              <w:pStyle w:val="ListParagraph"/>
              <w:spacing w:line="276" w:lineRule="auto"/>
              <w:ind w:left="0"/>
              <w:rPr>
                <w:rFonts w:ascii="Georgia" w:hAnsi="Georgia"/>
                <w:sz w:val="20"/>
              </w:rPr>
            </w:pPr>
            <w:r>
              <w:rPr>
                <w:rFonts w:ascii="Georgia" w:hAnsi="Georgia"/>
                <w:sz w:val="20"/>
              </w:rPr>
              <w:t>The Health Information Trust Alliance (HITRUST) exists to ensure that information security becomes a core pillar of, rather than an obstacle to, the broad adoption of health information systems and exchanges.</w:t>
            </w:r>
          </w:p>
        </w:tc>
      </w:tr>
      <w:tr w:rsidR="006F02C0" w:rsidTr="004C1300">
        <w:tc>
          <w:tcPr>
            <w:tcW w:w="4675" w:type="dxa"/>
            <w:vAlign w:val="center"/>
          </w:tcPr>
          <w:p w:rsidR="006F02C0" w:rsidRPr="006F02C0" w:rsidRDefault="00462962" w:rsidP="004C1300">
            <w:pPr>
              <w:pStyle w:val="ListParagraph"/>
              <w:spacing w:line="276" w:lineRule="auto"/>
              <w:ind w:left="0"/>
              <w:rPr>
                <w:rFonts w:ascii="Georgia" w:hAnsi="Georgia"/>
                <w:sz w:val="20"/>
              </w:rPr>
            </w:pPr>
            <w:r>
              <w:rPr>
                <w:rFonts w:ascii="Georgia" w:hAnsi="Georgia"/>
                <w:sz w:val="20"/>
              </w:rPr>
              <w:t>Degauss</w:t>
            </w:r>
          </w:p>
        </w:tc>
        <w:tc>
          <w:tcPr>
            <w:tcW w:w="4675" w:type="dxa"/>
          </w:tcPr>
          <w:p w:rsidR="006F02C0" w:rsidRPr="006F02C0" w:rsidRDefault="00201226" w:rsidP="00462962">
            <w:pPr>
              <w:pStyle w:val="ListParagraph"/>
              <w:spacing w:line="276" w:lineRule="auto"/>
              <w:ind w:left="0"/>
              <w:rPr>
                <w:rFonts w:ascii="Georgia" w:hAnsi="Georgia"/>
                <w:sz w:val="20"/>
              </w:rPr>
            </w:pPr>
            <w:r>
              <w:rPr>
                <w:rFonts w:ascii="Georgia" w:hAnsi="Georgia"/>
                <w:sz w:val="20"/>
              </w:rPr>
              <w:t>A</w:t>
            </w:r>
            <w:r w:rsidR="00462962">
              <w:rPr>
                <w:rFonts w:ascii="Georgia" w:hAnsi="Georgia"/>
                <w:sz w:val="20"/>
              </w:rPr>
              <w:t xml:space="preserve"> method of using a strong magnet to destroy data on magnetic storage tap</w:t>
            </w:r>
            <w:r>
              <w:rPr>
                <w:rFonts w:ascii="Georgia" w:hAnsi="Georgia"/>
                <w:sz w:val="20"/>
              </w:rPr>
              <w:t>e</w:t>
            </w:r>
            <w:r w:rsidR="00462962">
              <w:rPr>
                <w:rFonts w:ascii="Georgia" w:hAnsi="Georgia"/>
                <w:sz w:val="20"/>
              </w:rPr>
              <w:t>s such as ha</w:t>
            </w:r>
            <w:r>
              <w:rPr>
                <w:rFonts w:ascii="Georgia" w:hAnsi="Georgia"/>
                <w:sz w:val="20"/>
              </w:rPr>
              <w:t>rd drives, USB (thumb drives), smart phones or floppy d</w:t>
            </w:r>
            <w:r w:rsidR="00462962">
              <w:rPr>
                <w:rFonts w:ascii="Georgia" w:hAnsi="Georgia"/>
                <w:sz w:val="20"/>
              </w:rPr>
              <w:t>isks.</w:t>
            </w:r>
          </w:p>
        </w:tc>
      </w:tr>
      <w:tr w:rsidR="006F02C0" w:rsidTr="004C1300">
        <w:tc>
          <w:tcPr>
            <w:tcW w:w="4675" w:type="dxa"/>
            <w:vAlign w:val="center"/>
          </w:tcPr>
          <w:p w:rsidR="006F02C0" w:rsidRPr="006F02C0" w:rsidRDefault="00462962" w:rsidP="004C1300">
            <w:pPr>
              <w:pStyle w:val="ListParagraph"/>
              <w:spacing w:line="276" w:lineRule="auto"/>
              <w:ind w:left="0"/>
              <w:rPr>
                <w:rFonts w:ascii="Georgia" w:hAnsi="Georgia"/>
                <w:sz w:val="20"/>
              </w:rPr>
            </w:pPr>
            <w:r>
              <w:rPr>
                <w:rFonts w:ascii="Georgia" w:hAnsi="Georgia"/>
                <w:sz w:val="20"/>
              </w:rPr>
              <w:t>Zeroization</w:t>
            </w:r>
          </w:p>
        </w:tc>
        <w:tc>
          <w:tcPr>
            <w:tcW w:w="4675" w:type="dxa"/>
          </w:tcPr>
          <w:p w:rsidR="00462962" w:rsidRPr="006F02C0" w:rsidRDefault="00201226" w:rsidP="00462962">
            <w:pPr>
              <w:pStyle w:val="ListParagraph"/>
              <w:spacing w:line="276" w:lineRule="auto"/>
              <w:ind w:left="0"/>
              <w:rPr>
                <w:rFonts w:ascii="Georgia" w:hAnsi="Georgia"/>
                <w:sz w:val="20"/>
              </w:rPr>
            </w:pPr>
            <w:r>
              <w:rPr>
                <w:rFonts w:ascii="Georgia" w:hAnsi="Georgia"/>
                <w:sz w:val="20"/>
              </w:rPr>
              <w:t xml:space="preserve">A </w:t>
            </w:r>
            <w:r w:rsidR="00462962">
              <w:rPr>
                <w:rFonts w:ascii="Georgia" w:hAnsi="Georgia"/>
                <w:sz w:val="20"/>
              </w:rPr>
              <w:t>method or destroying data from electronic storage devices.  This is the process of replacing all data written onto a device with zeroes or null values.</w:t>
            </w:r>
          </w:p>
        </w:tc>
      </w:tr>
      <w:tr w:rsidR="00462962" w:rsidTr="004C1300">
        <w:tc>
          <w:tcPr>
            <w:tcW w:w="4675" w:type="dxa"/>
            <w:vAlign w:val="center"/>
          </w:tcPr>
          <w:p w:rsidR="00462962" w:rsidRDefault="00462962" w:rsidP="004C1300">
            <w:pPr>
              <w:pStyle w:val="ListParagraph"/>
              <w:spacing w:line="276" w:lineRule="auto"/>
              <w:ind w:left="0"/>
              <w:rPr>
                <w:rFonts w:ascii="Georgia" w:hAnsi="Georgia"/>
                <w:sz w:val="20"/>
              </w:rPr>
            </w:pPr>
            <w:r>
              <w:rPr>
                <w:rFonts w:ascii="Georgia" w:hAnsi="Georgia"/>
                <w:sz w:val="20"/>
              </w:rPr>
              <w:lastRenderedPageBreak/>
              <w:t>Covered Entity</w:t>
            </w:r>
          </w:p>
        </w:tc>
        <w:tc>
          <w:tcPr>
            <w:tcW w:w="4675" w:type="dxa"/>
          </w:tcPr>
          <w:p w:rsidR="00462962" w:rsidRDefault="00462962" w:rsidP="00462962">
            <w:pPr>
              <w:pStyle w:val="ListParagraph"/>
              <w:spacing w:line="276" w:lineRule="auto"/>
              <w:ind w:left="0"/>
              <w:rPr>
                <w:rFonts w:ascii="Georgia" w:hAnsi="Georgia"/>
                <w:sz w:val="20"/>
              </w:rPr>
            </w:pPr>
            <w:r>
              <w:rPr>
                <w:rFonts w:ascii="Georgia" w:hAnsi="Georgia"/>
                <w:sz w:val="20"/>
              </w:rPr>
              <w:t xml:space="preserve">Any organization or corporation that directly handles PHI.  </w:t>
            </w:r>
          </w:p>
        </w:tc>
      </w:tr>
      <w:tr w:rsidR="00462962" w:rsidTr="006F02C0">
        <w:tc>
          <w:tcPr>
            <w:tcW w:w="4675" w:type="dxa"/>
          </w:tcPr>
          <w:p w:rsidR="00462962" w:rsidRDefault="00462962" w:rsidP="00462962">
            <w:pPr>
              <w:pStyle w:val="ListParagraph"/>
              <w:spacing w:line="276" w:lineRule="auto"/>
              <w:ind w:left="0"/>
              <w:rPr>
                <w:rFonts w:ascii="Georgia" w:hAnsi="Georgia"/>
                <w:sz w:val="20"/>
              </w:rPr>
            </w:pPr>
            <w:r>
              <w:rPr>
                <w:rFonts w:ascii="Georgia" w:hAnsi="Georgia"/>
                <w:sz w:val="20"/>
              </w:rPr>
              <w:t>Business Associate</w:t>
            </w:r>
          </w:p>
        </w:tc>
        <w:tc>
          <w:tcPr>
            <w:tcW w:w="4675" w:type="dxa"/>
          </w:tcPr>
          <w:p w:rsidR="00462962" w:rsidRDefault="00462962" w:rsidP="00462962">
            <w:pPr>
              <w:pStyle w:val="ListParagraph"/>
              <w:spacing w:line="276" w:lineRule="auto"/>
              <w:ind w:left="0"/>
              <w:rPr>
                <w:rFonts w:ascii="Georgia" w:hAnsi="Georgia"/>
                <w:sz w:val="20"/>
              </w:rPr>
            </w:pPr>
            <w:r>
              <w:rPr>
                <w:rFonts w:ascii="Georgia" w:hAnsi="Georgia"/>
                <w:sz w:val="20"/>
              </w:rPr>
              <w:t>Any</w:t>
            </w:r>
            <w:r w:rsidR="00201226">
              <w:rPr>
                <w:rFonts w:ascii="Georgia" w:hAnsi="Georgia"/>
                <w:sz w:val="20"/>
              </w:rPr>
              <w:t xml:space="preserve"> person or entity that performs</w:t>
            </w:r>
            <w:r>
              <w:rPr>
                <w:rFonts w:ascii="Georgia" w:hAnsi="Georgia"/>
                <w:sz w:val="20"/>
              </w:rPr>
              <w:t xml:space="preserve"> certain functions or activities that involve the use or disclosure of PHI on behalf of, or provides services to, a covered entity.</w:t>
            </w:r>
          </w:p>
        </w:tc>
      </w:tr>
    </w:tbl>
    <w:p w:rsidR="006F02C0" w:rsidRPr="006F02C0" w:rsidRDefault="006F02C0" w:rsidP="0020403A">
      <w:pPr>
        <w:pStyle w:val="ListParagraph"/>
        <w:ind w:left="0"/>
        <w:rPr>
          <w:rFonts w:ascii="Georgia" w:hAnsi="Georgia"/>
          <w:sz w:val="24"/>
        </w:rPr>
      </w:pPr>
    </w:p>
    <w:p w:rsidR="00946695" w:rsidRDefault="00201226" w:rsidP="00946695">
      <w:pPr>
        <w:pStyle w:val="ListParagraph"/>
        <w:ind w:left="0"/>
        <w:rPr>
          <w:rFonts w:ascii="Georgia" w:hAnsi="Georgia"/>
          <w:b/>
          <w:color w:val="006600"/>
          <w:sz w:val="28"/>
        </w:rPr>
      </w:pPr>
      <w:r>
        <w:rPr>
          <w:rFonts w:ascii="Georgia" w:hAnsi="Georgia"/>
          <w:b/>
          <w:color w:val="006600"/>
          <w:sz w:val="28"/>
        </w:rPr>
        <w:t xml:space="preserve"> </w:t>
      </w:r>
    </w:p>
    <w:p w:rsidR="00946695" w:rsidRPr="00946695" w:rsidRDefault="00946695" w:rsidP="00946695">
      <w:pPr>
        <w:pStyle w:val="ListParagraph"/>
        <w:numPr>
          <w:ilvl w:val="0"/>
          <w:numId w:val="4"/>
        </w:numPr>
        <w:ind w:left="0" w:hanging="810"/>
        <w:rPr>
          <w:rFonts w:ascii="Georgia" w:hAnsi="Georgia"/>
          <w:b/>
          <w:color w:val="006600"/>
          <w:sz w:val="28"/>
        </w:rPr>
      </w:pPr>
      <w:r w:rsidRPr="00946695">
        <w:rPr>
          <w:rFonts w:ascii="Georgia" w:hAnsi="Georgia"/>
          <w:b/>
          <w:color w:val="006600"/>
          <w:sz w:val="28"/>
        </w:rPr>
        <w:t>SCOPE:</w:t>
      </w:r>
    </w:p>
    <w:p w:rsidR="003A094A" w:rsidRDefault="003A094A" w:rsidP="003A094A">
      <w:pPr>
        <w:pStyle w:val="ListParagraph"/>
        <w:ind w:left="0"/>
        <w:rPr>
          <w:rFonts w:ascii="Georgia" w:hAnsi="Georgia"/>
          <w:b/>
          <w:color w:val="006600"/>
          <w:sz w:val="28"/>
        </w:rPr>
      </w:pPr>
    </w:p>
    <w:p w:rsidR="00516653" w:rsidRDefault="00BB3358" w:rsidP="00516653">
      <w:pPr>
        <w:pStyle w:val="ListParagraph"/>
        <w:spacing w:line="276" w:lineRule="auto"/>
        <w:ind w:left="0"/>
        <w:rPr>
          <w:rFonts w:ascii="Georgia" w:hAnsi="Georgia"/>
          <w:sz w:val="24"/>
        </w:rPr>
      </w:pPr>
      <w:r>
        <w:rPr>
          <w:rFonts w:ascii="Georgia" w:hAnsi="Georgia"/>
          <w:sz w:val="24"/>
        </w:rPr>
        <w:t xml:space="preserve">     The</w:t>
      </w:r>
      <w:r w:rsidR="00462962">
        <w:rPr>
          <w:rFonts w:ascii="Georgia" w:hAnsi="Georgia"/>
          <w:sz w:val="24"/>
        </w:rPr>
        <w:t>s</w:t>
      </w:r>
      <w:r>
        <w:rPr>
          <w:rFonts w:ascii="Georgia" w:hAnsi="Georgia"/>
          <w:sz w:val="24"/>
        </w:rPr>
        <w:t>e</w:t>
      </w:r>
      <w:r w:rsidR="00462962">
        <w:rPr>
          <w:rFonts w:ascii="Georgia" w:hAnsi="Georgia"/>
          <w:sz w:val="24"/>
        </w:rPr>
        <w:t xml:space="preserve"> policies and all policies referred to within are applicable to all employees, personnel, eligible providers, eligible hospitals, all business associates and other covered entities that, at any point, refer to or handle PII/PHI data whether logical or physical in nature.  Under no exception is any </w:t>
      </w:r>
      <w:r w:rsidR="00516653">
        <w:rPr>
          <w:rFonts w:ascii="Georgia" w:hAnsi="Georgia"/>
          <w:sz w:val="24"/>
        </w:rPr>
        <w:t>individual who han</w:t>
      </w:r>
      <w:r w:rsidR="00201226">
        <w:rPr>
          <w:rFonts w:ascii="Georgia" w:hAnsi="Georgia"/>
          <w:sz w:val="24"/>
        </w:rPr>
        <w:t>dles or comes in contact with P</w:t>
      </w:r>
      <w:r w:rsidR="00516653">
        <w:rPr>
          <w:rFonts w:ascii="Georgia" w:hAnsi="Georgia"/>
          <w:sz w:val="24"/>
        </w:rPr>
        <w:t>I</w:t>
      </w:r>
      <w:r w:rsidR="00201226">
        <w:rPr>
          <w:rFonts w:ascii="Georgia" w:hAnsi="Georgia"/>
          <w:sz w:val="24"/>
        </w:rPr>
        <w:t>I/PH</w:t>
      </w:r>
      <w:r w:rsidR="00516653">
        <w:rPr>
          <w:rFonts w:ascii="Georgia" w:hAnsi="Georgia"/>
          <w:sz w:val="24"/>
        </w:rPr>
        <w:t xml:space="preserve">I or other sensitive information exempt from these policies.  </w:t>
      </w:r>
    </w:p>
    <w:p w:rsidR="003E0908" w:rsidRDefault="003E0908" w:rsidP="003A094A">
      <w:pPr>
        <w:pStyle w:val="ListParagraph"/>
        <w:ind w:left="0"/>
        <w:rPr>
          <w:rFonts w:ascii="Georgia" w:hAnsi="Georgia"/>
          <w:b/>
          <w:color w:val="006600"/>
          <w:sz w:val="40"/>
        </w:rPr>
      </w:pPr>
    </w:p>
    <w:p w:rsidR="00EE2EFE" w:rsidRDefault="00EE2EFE" w:rsidP="00EE2EFE">
      <w:pPr>
        <w:pStyle w:val="ListParagraph"/>
        <w:ind w:left="0"/>
        <w:rPr>
          <w:rFonts w:ascii="Georgia" w:hAnsi="Georgia"/>
          <w:b/>
          <w:color w:val="006600"/>
          <w:sz w:val="28"/>
        </w:rPr>
      </w:pPr>
    </w:p>
    <w:p w:rsidR="003A094A" w:rsidRDefault="00AB63B8" w:rsidP="00EE2EFE">
      <w:pPr>
        <w:pStyle w:val="ListParagraph"/>
        <w:numPr>
          <w:ilvl w:val="0"/>
          <w:numId w:val="4"/>
        </w:numPr>
        <w:ind w:left="0"/>
        <w:rPr>
          <w:rFonts w:ascii="Georgia" w:hAnsi="Georgia"/>
          <w:b/>
          <w:color w:val="006600"/>
          <w:sz w:val="28"/>
        </w:rPr>
      </w:pPr>
      <w:r w:rsidRPr="00EE2EFE">
        <w:rPr>
          <w:rFonts w:ascii="Georgia" w:hAnsi="Georgia"/>
          <w:b/>
          <w:color w:val="006600"/>
          <w:sz w:val="28"/>
        </w:rPr>
        <w:t>TYPES OF PII/PHI:</w:t>
      </w:r>
    </w:p>
    <w:p w:rsidR="00516653" w:rsidRDefault="00516653" w:rsidP="00516653">
      <w:pPr>
        <w:pStyle w:val="ListParagraph"/>
        <w:ind w:left="0"/>
        <w:rPr>
          <w:rFonts w:ascii="Georgia" w:hAnsi="Georgia"/>
          <w:b/>
          <w:color w:val="006600"/>
          <w:sz w:val="28"/>
        </w:rPr>
      </w:pPr>
    </w:p>
    <w:p w:rsidR="00516653" w:rsidRDefault="00516653" w:rsidP="00516653">
      <w:pPr>
        <w:pStyle w:val="ListParagraph"/>
        <w:ind w:left="0"/>
        <w:rPr>
          <w:rFonts w:ascii="Georgia" w:hAnsi="Georgia"/>
          <w:sz w:val="24"/>
        </w:rPr>
      </w:pPr>
      <w:r>
        <w:rPr>
          <w:rFonts w:ascii="Georgia" w:hAnsi="Georgia"/>
          <w:sz w:val="24"/>
        </w:rPr>
        <w:t xml:space="preserve">     Instances of </w:t>
      </w:r>
      <w:r w:rsidR="004C1300">
        <w:rPr>
          <w:rFonts w:ascii="Georgia" w:hAnsi="Georgia"/>
          <w:sz w:val="24"/>
        </w:rPr>
        <w:t>PII and PHI</w:t>
      </w:r>
      <w:r>
        <w:rPr>
          <w:rFonts w:ascii="Georgia" w:hAnsi="Georgia"/>
          <w:sz w:val="24"/>
        </w:rPr>
        <w:t xml:space="preserve"> occur when we initiate the intake process for care or research purposes and gather information about a specific individual or relatives, employers or household members of the individual. </w:t>
      </w:r>
      <w:r>
        <w:rPr>
          <w:rFonts w:ascii="Georgia" w:hAnsi="Georgia"/>
          <w:sz w:val="24"/>
          <w:vertAlign w:val="superscript"/>
        </w:rPr>
        <w:t>(1)</w:t>
      </w:r>
      <w:r>
        <w:rPr>
          <w:rFonts w:ascii="Georgia" w:hAnsi="Georgia"/>
          <w:sz w:val="24"/>
        </w:rPr>
        <w:t xml:space="preserve">  The scope of the information gathered can be, but is not limited to the following:</w:t>
      </w:r>
    </w:p>
    <w:p w:rsidR="00516653" w:rsidRDefault="00516653" w:rsidP="00516653">
      <w:pPr>
        <w:pStyle w:val="ListParagraph"/>
        <w:ind w:left="0"/>
        <w:rPr>
          <w:rFonts w:ascii="Georgia" w:hAnsi="Georgia"/>
          <w:sz w:val="24"/>
        </w:rPr>
      </w:pPr>
    </w:p>
    <w:p w:rsidR="00516653" w:rsidRPr="005F22BA" w:rsidRDefault="00516653" w:rsidP="00516653">
      <w:pPr>
        <w:pStyle w:val="ListParagraph"/>
        <w:numPr>
          <w:ilvl w:val="0"/>
          <w:numId w:val="9"/>
        </w:numPr>
        <w:rPr>
          <w:rFonts w:ascii="Georgia" w:hAnsi="Georgia"/>
          <w:color w:val="006600"/>
          <w:sz w:val="24"/>
        </w:rPr>
      </w:pPr>
      <w:r w:rsidRPr="005F22BA">
        <w:rPr>
          <w:rFonts w:ascii="Georgia" w:hAnsi="Georgia"/>
          <w:color w:val="006600"/>
          <w:sz w:val="24"/>
        </w:rPr>
        <w:t>The individual’s past, present or future physical or mental health or condition;</w:t>
      </w:r>
    </w:p>
    <w:p w:rsidR="00516653" w:rsidRPr="005F22BA" w:rsidRDefault="00516653" w:rsidP="00516653">
      <w:pPr>
        <w:pStyle w:val="ListParagraph"/>
        <w:numPr>
          <w:ilvl w:val="0"/>
          <w:numId w:val="9"/>
        </w:numPr>
        <w:rPr>
          <w:rFonts w:ascii="Georgia" w:hAnsi="Georgia"/>
          <w:color w:val="006600"/>
          <w:sz w:val="24"/>
        </w:rPr>
      </w:pPr>
      <w:r w:rsidRPr="005F22BA">
        <w:rPr>
          <w:rFonts w:ascii="Georgia" w:hAnsi="Georgia"/>
          <w:color w:val="006600"/>
          <w:sz w:val="24"/>
        </w:rPr>
        <w:t>The provision of health care to the individual, or;</w:t>
      </w:r>
    </w:p>
    <w:p w:rsidR="00516653" w:rsidRPr="005F22BA" w:rsidRDefault="00516653" w:rsidP="00516653">
      <w:pPr>
        <w:pStyle w:val="ListParagraph"/>
        <w:numPr>
          <w:ilvl w:val="0"/>
          <w:numId w:val="9"/>
        </w:numPr>
        <w:rPr>
          <w:rFonts w:ascii="Georgia" w:hAnsi="Georgia"/>
          <w:color w:val="006600"/>
          <w:sz w:val="24"/>
        </w:rPr>
      </w:pPr>
      <w:r w:rsidRPr="005F22BA">
        <w:rPr>
          <w:rFonts w:ascii="Georgia" w:hAnsi="Georgia"/>
          <w:color w:val="006600"/>
          <w:sz w:val="24"/>
        </w:rPr>
        <w:t>The past, present, or future payment for the provision of health care to the individual that identifies the individual or for which there is a reasonable basis to believe it can be used to identify the individual. (2)</w:t>
      </w:r>
    </w:p>
    <w:p w:rsidR="00516653" w:rsidRPr="00201226" w:rsidRDefault="00516653" w:rsidP="00201226">
      <w:pPr>
        <w:rPr>
          <w:rFonts w:ascii="Georgia" w:hAnsi="Georgia"/>
          <w:sz w:val="24"/>
        </w:rPr>
      </w:pPr>
      <w:r>
        <w:rPr>
          <w:rFonts w:ascii="Georgia" w:hAnsi="Georgia"/>
          <w:sz w:val="24"/>
        </w:rPr>
        <w:t xml:space="preserve">HIPAA provides 18 identifiers of PHI that are consistent with PII protected by federal and state laws and regulations.  The key distinction between </w:t>
      </w:r>
      <w:r w:rsidR="004C1300">
        <w:rPr>
          <w:rFonts w:ascii="Georgia" w:hAnsi="Georgia"/>
          <w:sz w:val="24"/>
        </w:rPr>
        <w:t>PII and PHI</w:t>
      </w:r>
      <w:r>
        <w:rPr>
          <w:rFonts w:ascii="Georgia" w:hAnsi="Georgia"/>
          <w:sz w:val="24"/>
        </w:rPr>
        <w:t xml:space="preserve"> is the inclusion of medical-related information in PHI such as medical record numbers or labels on specimens obtained for care or research purposes. </w:t>
      </w:r>
      <w:r>
        <w:rPr>
          <w:rFonts w:ascii="Georgia" w:hAnsi="Georgia"/>
          <w:sz w:val="24"/>
          <w:vertAlign w:val="superscript"/>
        </w:rPr>
        <w:t>(3)</w:t>
      </w:r>
      <w:r>
        <w:rPr>
          <w:rFonts w:ascii="Georgia" w:hAnsi="Georgia"/>
          <w:sz w:val="24"/>
        </w:rPr>
        <w:t xml:space="preserve">  Refer to </w:t>
      </w:r>
      <w:r w:rsidRPr="00516653">
        <w:rPr>
          <w:rFonts w:ascii="Georgia" w:hAnsi="Georgia"/>
          <w:i/>
          <w:sz w:val="24"/>
        </w:rPr>
        <w:t>Table A: Exa</w:t>
      </w:r>
      <w:r>
        <w:rPr>
          <w:rFonts w:ascii="Georgia" w:hAnsi="Georgia"/>
          <w:i/>
          <w:sz w:val="24"/>
        </w:rPr>
        <w:t xml:space="preserve">mples of </w:t>
      </w:r>
      <w:r w:rsidR="004C1300">
        <w:rPr>
          <w:rFonts w:ascii="Georgia" w:hAnsi="Georgia"/>
          <w:i/>
          <w:sz w:val="24"/>
        </w:rPr>
        <w:t>PII and PHI</w:t>
      </w:r>
      <w:r>
        <w:rPr>
          <w:rFonts w:ascii="Georgia" w:hAnsi="Georgia"/>
          <w:i/>
          <w:sz w:val="24"/>
        </w:rPr>
        <w:t xml:space="preserve"> Identifiers</w:t>
      </w:r>
      <w:r w:rsidR="00201226">
        <w:rPr>
          <w:rFonts w:ascii="Georgia" w:hAnsi="Georgia"/>
          <w:sz w:val="24"/>
        </w:rPr>
        <w:t>.</w:t>
      </w:r>
    </w:p>
    <w:p w:rsidR="00516653" w:rsidRDefault="00516653" w:rsidP="00AB63B8">
      <w:pPr>
        <w:rPr>
          <w:rFonts w:ascii="Georgia" w:hAnsi="Georgia"/>
          <w:b/>
          <w:color w:val="006600"/>
          <w:sz w:val="28"/>
        </w:rPr>
      </w:pPr>
    </w:p>
    <w:p w:rsidR="00AB63B8" w:rsidRDefault="00516653" w:rsidP="00516653">
      <w:pPr>
        <w:jc w:val="center"/>
        <w:rPr>
          <w:rFonts w:ascii="Georgia" w:hAnsi="Georgia"/>
          <w:b/>
          <w:color w:val="006600"/>
          <w:sz w:val="28"/>
        </w:rPr>
      </w:pPr>
      <w:r>
        <w:rPr>
          <w:rFonts w:ascii="Georgia" w:hAnsi="Georgia"/>
          <w:b/>
          <w:color w:val="006600"/>
          <w:sz w:val="28"/>
        </w:rPr>
        <w:lastRenderedPageBreak/>
        <w:t xml:space="preserve">Table A:  Examples of </w:t>
      </w:r>
      <w:r w:rsidR="004C1300">
        <w:rPr>
          <w:rFonts w:ascii="Georgia" w:hAnsi="Georgia"/>
          <w:b/>
          <w:color w:val="006600"/>
          <w:sz w:val="28"/>
        </w:rPr>
        <w:t>PII and PHI</w:t>
      </w:r>
      <w:r w:rsidR="00201226">
        <w:rPr>
          <w:rFonts w:ascii="Georgia" w:hAnsi="Georgia"/>
          <w:b/>
          <w:color w:val="006600"/>
          <w:sz w:val="28"/>
        </w:rPr>
        <w:t xml:space="preserve"> Identifiers</w:t>
      </w:r>
    </w:p>
    <w:tbl>
      <w:tblPr>
        <w:tblStyle w:val="TableGrid"/>
        <w:tblW w:w="0" w:type="auto"/>
        <w:tblLook w:val="04A0" w:firstRow="1" w:lastRow="0" w:firstColumn="1" w:lastColumn="0" w:noHBand="0" w:noVBand="1"/>
      </w:tblPr>
      <w:tblGrid>
        <w:gridCol w:w="4675"/>
        <w:gridCol w:w="4675"/>
      </w:tblGrid>
      <w:tr w:rsidR="00516653" w:rsidTr="00516653">
        <w:tc>
          <w:tcPr>
            <w:tcW w:w="4675" w:type="dxa"/>
          </w:tcPr>
          <w:p w:rsidR="00516653" w:rsidRPr="00516653" w:rsidRDefault="00516653" w:rsidP="00516653">
            <w:pPr>
              <w:jc w:val="center"/>
              <w:rPr>
                <w:rFonts w:ascii="Georgia" w:hAnsi="Georgia"/>
                <w:color w:val="006600"/>
                <w:sz w:val="28"/>
                <w:vertAlign w:val="superscript"/>
              </w:rPr>
            </w:pPr>
            <w:r w:rsidRPr="00516653">
              <w:rPr>
                <w:rFonts w:ascii="Georgia" w:hAnsi="Georgia"/>
                <w:color w:val="006600"/>
                <w:sz w:val="24"/>
              </w:rPr>
              <w:t>Protected Health Information (PHI) Examples</w:t>
            </w:r>
            <w:r>
              <w:rPr>
                <w:rFonts w:ascii="Georgia" w:hAnsi="Georgia"/>
                <w:color w:val="006600"/>
                <w:sz w:val="28"/>
                <w:vertAlign w:val="superscript"/>
              </w:rPr>
              <w:t>(4)</w:t>
            </w:r>
          </w:p>
        </w:tc>
        <w:tc>
          <w:tcPr>
            <w:tcW w:w="4675" w:type="dxa"/>
          </w:tcPr>
          <w:p w:rsidR="00516653" w:rsidRPr="00516653" w:rsidRDefault="00516653" w:rsidP="00516653">
            <w:pPr>
              <w:jc w:val="center"/>
              <w:rPr>
                <w:rFonts w:ascii="Georgia" w:hAnsi="Georgia"/>
                <w:color w:val="006600"/>
                <w:sz w:val="28"/>
                <w:vertAlign w:val="superscript"/>
              </w:rPr>
            </w:pPr>
            <w:r w:rsidRPr="00516653">
              <w:rPr>
                <w:rFonts w:ascii="Georgia" w:hAnsi="Georgia"/>
                <w:color w:val="006600"/>
                <w:sz w:val="24"/>
              </w:rPr>
              <w:t>Personal</w:t>
            </w:r>
            <w:r w:rsidR="00201226">
              <w:rPr>
                <w:rFonts w:ascii="Georgia" w:hAnsi="Georgia"/>
                <w:color w:val="006600"/>
                <w:sz w:val="24"/>
              </w:rPr>
              <w:t>ly Identifiable</w:t>
            </w:r>
            <w:r w:rsidRPr="00516653">
              <w:rPr>
                <w:rFonts w:ascii="Georgia" w:hAnsi="Georgia"/>
                <w:color w:val="006600"/>
                <w:sz w:val="24"/>
              </w:rPr>
              <w:t xml:space="preserve"> Information (PII) Examples</w:t>
            </w:r>
            <w:r>
              <w:rPr>
                <w:rFonts w:ascii="Georgia" w:hAnsi="Georgia"/>
                <w:color w:val="006600"/>
                <w:sz w:val="28"/>
                <w:vertAlign w:val="superscript"/>
              </w:rPr>
              <w:t>(5)</w:t>
            </w:r>
          </w:p>
        </w:tc>
      </w:tr>
      <w:tr w:rsidR="00516653" w:rsidTr="00516653">
        <w:tc>
          <w:tcPr>
            <w:tcW w:w="4675" w:type="dxa"/>
          </w:tcPr>
          <w:p w:rsidR="00516653" w:rsidRPr="00516653" w:rsidRDefault="00516653" w:rsidP="004273E7">
            <w:pPr>
              <w:numPr>
                <w:ilvl w:val="0"/>
                <w:numId w:val="11"/>
              </w:numPr>
              <w:shd w:val="clear" w:color="auto" w:fill="FFFFFF"/>
              <w:spacing w:before="220"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Names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Addresses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All elements of dates except year</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Telephone numbers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Fax numbers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Email addresses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Social security numbers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 xml:space="preserve">Medical record numbers </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Health plan beneficiary numbers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Account numbers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Certificate/license numbers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Vehicle identifiers and serial numbers, including license plate numbers</w:t>
            </w:r>
          </w:p>
          <w:p w:rsidR="00516653" w:rsidRPr="00516653" w:rsidRDefault="00201226"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Pr>
                <w:rFonts w:ascii="Georgia" w:eastAsia="Times New Roman" w:hAnsi="Georgia" w:cs="Arial"/>
                <w:color w:val="181818"/>
                <w:sz w:val="20"/>
                <w:szCs w:val="20"/>
                <w:shd w:val="clear" w:color="auto" w:fill="FFFFFF"/>
              </w:rPr>
              <w:t xml:space="preserve">Device identifiers and </w:t>
            </w:r>
            <w:r w:rsidR="00516653" w:rsidRPr="00516653">
              <w:rPr>
                <w:rFonts w:ascii="Georgia" w:eastAsia="Times New Roman" w:hAnsi="Georgia" w:cs="Arial"/>
                <w:color w:val="181818"/>
                <w:sz w:val="20"/>
                <w:szCs w:val="20"/>
                <w:shd w:val="clear" w:color="auto" w:fill="FFFFFF"/>
              </w:rPr>
              <w:t>serial numbers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Web Universal Resource Locators (URLs)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Internet Protocol (IP) address numbers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Biometric identifiers, including finger and voice prints</w:t>
            </w:r>
          </w:p>
          <w:p w:rsidR="00516653" w:rsidRPr="00516653" w:rsidRDefault="00516653" w:rsidP="004273E7">
            <w:pPr>
              <w:numPr>
                <w:ilvl w:val="0"/>
                <w:numId w:val="11"/>
              </w:numPr>
              <w:shd w:val="clear" w:color="auto" w:fill="FFFFFF"/>
              <w:spacing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Full face photographic images and any comparable images</w:t>
            </w:r>
          </w:p>
          <w:p w:rsidR="00516653" w:rsidRPr="00516653" w:rsidRDefault="00516653" w:rsidP="004273E7">
            <w:pPr>
              <w:numPr>
                <w:ilvl w:val="0"/>
                <w:numId w:val="11"/>
              </w:numPr>
              <w:shd w:val="clear" w:color="auto" w:fill="FFFFFF"/>
              <w:spacing w:before="100" w:beforeAutospacing="1" w:afterAutospacing="0" w:line="276" w:lineRule="auto"/>
              <w:contextualSpacing/>
              <w:textAlignment w:val="baseline"/>
              <w:rPr>
                <w:rFonts w:ascii="Arial" w:eastAsia="Times New Roman" w:hAnsi="Arial" w:cs="Arial"/>
                <w:color w:val="181818"/>
                <w:sz w:val="24"/>
                <w:szCs w:val="24"/>
              </w:rPr>
            </w:pPr>
            <w:r w:rsidRPr="00516653">
              <w:rPr>
                <w:rFonts w:ascii="Georgia" w:eastAsia="Times New Roman" w:hAnsi="Georgia" w:cs="Arial"/>
                <w:color w:val="181818"/>
                <w:sz w:val="20"/>
                <w:szCs w:val="20"/>
                <w:shd w:val="clear" w:color="auto" w:fill="FFFFFF"/>
              </w:rPr>
              <w:t>Any other unique identifying number, characteristic, or code</w:t>
            </w:r>
          </w:p>
          <w:p w:rsidR="00516653" w:rsidRPr="00516653" w:rsidRDefault="00516653" w:rsidP="004273E7">
            <w:pPr>
              <w:spacing w:afterAutospacing="0"/>
              <w:contextualSpacing/>
              <w:rPr>
                <w:rFonts w:ascii="Georgia" w:hAnsi="Georgia"/>
                <w:b/>
              </w:rPr>
            </w:pPr>
          </w:p>
        </w:tc>
        <w:tc>
          <w:tcPr>
            <w:tcW w:w="4675" w:type="dxa"/>
          </w:tcPr>
          <w:p w:rsidR="00516653" w:rsidRPr="00516653" w:rsidRDefault="00516653" w:rsidP="004273E7">
            <w:pPr>
              <w:numPr>
                <w:ilvl w:val="0"/>
                <w:numId w:val="12"/>
              </w:numPr>
              <w:shd w:val="clear" w:color="auto" w:fill="FFFFFF"/>
              <w:spacing w:before="220" w:afterAutospacing="0" w:line="276" w:lineRule="auto"/>
              <w:contextualSpacing/>
              <w:textAlignment w:val="baseline"/>
              <w:rPr>
                <w:rFonts w:ascii="Arial" w:eastAsia="Times New Roman" w:hAnsi="Arial" w:cs="Arial"/>
                <w:color w:val="181818"/>
                <w:sz w:val="20"/>
                <w:szCs w:val="20"/>
              </w:rPr>
            </w:pPr>
            <w:r w:rsidRPr="00516653">
              <w:rPr>
                <w:rFonts w:ascii="Georgia" w:eastAsia="Times New Roman" w:hAnsi="Georgia" w:cs="Arial"/>
                <w:color w:val="181818"/>
                <w:sz w:val="20"/>
                <w:szCs w:val="20"/>
                <w:shd w:val="clear" w:color="auto" w:fill="FFFFFF"/>
              </w:rPr>
              <w:t>Names</w:t>
            </w:r>
          </w:p>
          <w:p w:rsidR="00516653" w:rsidRPr="00516653" w:rsidRDefault="00516653" w:rsidP="004273E7">
            <w:pPr>
              <w:numPr>
                <w:ilvl w:val="0"/>
                <w:numId w:val="12"/>
              </w:numPr>
              <w:shd w:val="clear" w:color="auto" w:fill="FFFFFF"/>
              <w:spacing w:afterAutospacing="0" w:line="276" w:lineRule="auto"/>
              <w:contextualSpacing/>
              <w:textAlignment w:val="baseline"/>
              <w:rPr>
                <w:rFonts w:ascii="Arial" w:eastAsia="Times New Roman" w:hAnsi="Arial" w:cs="Arial"/>
                <w:color w:val="181818"/>
                <w:sz w:val="20"/>
                <w:szCs w:val="20"/>
              </w:rPr>
            </w:pPr>
            <w:r w:rsidRPr="00516653">
              <w:rPr>
                <w:rFonts w:ascii="Georgia" w:eastAsia="Times New Roman" w:hAnsi="Georgia" w:cs="Arial"/>
                <w:color w:val="181818"/>
                <w:sz w:val="20"/>
                <w:szCs w:val="20"/>
                <w:shd w:val="clear" w:color="auto" w:fill="FFFFFF"/>
              </w:rPr>
              <w:t>Addresses</w:t>
            </w:r>
          </w:p>
          <w:p w:rsidR="00516653" w:rsidRPr="00516653" w:rsidRDefault="00516653" w:rsidP="004273E7">
            <w:pPr>
              <w:numPr>
                <w:ilvl w:val="0"/>
                <w:numId w:val="12"/>
              </w:numPr>
              <w:shd w:val="clear" w:color="auto" w:fill="FFFFFF"/>
              <w:spacing w:afterAutospacing="0" w:line="276" w:lineRule="auto"/>
              <w:contextualSpacing/>
              <w:textAlignment w:val="baseline"/>
              <w:rPr>
                <w:rFonts w:ascii="Arial" w:eastAsia="Times New Roman" w:hAnsi="Arial" w:cs="Arial"/>
                <w:color w:val="181818"/>
                <w:sz w:val="20"/>
                <w:szCs w:val="20"/>
              </w:rPr>
            </w:pPr>
            <w:r w:rsidRPr="00516653">
              <w:rPr>
                <w:rFonts w:ascii="Georgia" w:eastAsia="Times New Roman" w:hAnsi="Georgia" w:cs="Arial"/>
                <w:color w:val="181818"/>
                <w:sz w:val="20"/>
                <w:szCs w:val="20"/>
                <w:shd w:val="clear" w:color="auto" w:fill="FFFFFF"/>
              </w:rPr>
              <w:t>Dates such as date of birth</w:t>
            </w:r>
          </w:p>
          <w:p w:rsidR="00516653" w:rsidRPr="00516653" w:rsidRDefault="00516653" w:rsidP="004273E7">
            <w:pPr>
              <w:numPr>
                <w:ilvl w:val="0"/>
                <w:numId w:val="12"/>
              </w:numPr>
              <w:shd w:val="clear" w:color="auto" w:fill="FFFFFF"/>
              <w:spacing w:afterAutospacing="0" w:line="276" w:lineRule="auto"/>
              <w:contextualSpacing/>
              <w:textAlignment w:val="baseline"/>
              <w:rPr>
                <w:rFonts w:ascii="Arial" w:eastAsia="Times New Roman" w:hAnsi="Arial" w:cs="Arial"/>
                <w:color w:val="181818"/>
                <w:sz w:val="20"/>
                <w:szCs w:val="20"/>
              </w:rPr>
            </w:pPr>
            <w:r w:rsidRPr="00516653">
              <w:rPr>
                <w:rFonts w:ascii="Georgia" w:eastAsia="Times New Roman" w:hAnsi="Georgia" w:cs="Arial"/>
                <w:color w:val="181818"/>
                <w:sz w:val="20"/>
                <w:szCs w:val="20"/>
                <w:shd w:val="clear" w:color="auto" w:fill="FFFFFF"/>
              </w:rPr>
              <w:t>Telephone numbers including mobile, business, and personal numbers</w:t>
            </w:r>
          </w:p>
          <w:p w:rsidR="00516653" w:rsidRPr="00516653" w:rsidRDefault="00516653" w:rsidP="004273E7">
            <w:pPr>
              <w:numPr>
                <w:ilvl w:val="0"/>
                <w:numId w:val="12"/>
              </w:numPr>
              <w:shd w:val="clear" w:color="auto" w:fill="FFFFFF"/>
              <w:spacing w:afterAutospacing="0" w:line="276" w:lineRule="auto"/>
              <w:contextualSpacing/>
              <w:textAlignment w:val="baseline"/>
              <w:rPr>
                <w:rFonts w:ascii="Arial" w:eastAsia="Times New Roman" w:hAnsi="Arial" w:cs="Arial"/>
                <w:color w:val="181818"/>
                <w:sz w:val="20"/>
                <w:szCs w:val="20"/>
              </w:rPr>
            </w:pPr>
            <w:r w:rsidRPr="00516653">
              <w:rPr>
                <w:rFonts w:ascii="Georgia" w:eastAsia="Times New Roman" w:hAnsi="Georgia" w:cs="Arial"/>
                <w:color w:val="181818"/>
                <w:sz w:val="20"/>
                <w:szCs w:val="20"/>
                <w:shd w:val="clear" w:color="auto" w:fill="FFFFFF"/>
              </w:rPr>
              <w:t>Fax numbers</w:t>
            </w:r>
          </w:p>
          <w:p w:rsidR="00516653" w:rsidRPr="00516653" w:rsidRDefault="00516653" w:rsidP="004273E7">
            <w:pPr>
              <w:numPr>
                <w:ilvl w:val="0"/>
                <w:numId w:val="12"/>
              </w:numPr>
              <w:shd w:val="clear" w:color="auto" w:fill="FFFFFF"/>
              <w:spacing w:afterAutospacing="0" w:line="276" w:lineRule="auto"/>
              <w:contextualSpacing/>
              <w:textAlignment w:val="baseline"/>
              <w:rPr>
                <w:rFonts w:ascii="Arial" w:eastAsia="Times New Roman" w:hAnsi="Arial" w:cs="Arial"/>
                <w:color w:val="181818"/>
                <w:sz w:val="20"/>
                <w:szCs w:val="20"/>
              </w:rPr>
            </w:pPr>
            <w:r w:rsidRPr="00516653">
              <w:rPr>
                <w:rFonts w:ascii="Georgia" w:eastAsia="Times New Roman" w:hAnsi="Georgia" w:cs="Arial"/>
                <w:color w:val="181818"/>
                <w:sz w:val="20"/>
                <w:szCs w:val="20"/>
                <w:shd w:val="clear" w:color="auto" w:fill="FFFFFF"/>
              </w:rPr>
              <w:t>Email addresses</w:t>
            </w:r>
          </w:p>
          <w:p w:rsidR="00516653" w:rsidRPr="00516653" w:rsidRDefault="00516653" w:rsidP="004273E7">
            <w:pPr>
              <w:numPr>
                <w:ilvl w:val="0"/>
                <w:numId w:val="12"/>
              </w:numPr>
              <w:shd w:val="clear" w:color="auto" w:fill="FFFFFF"/>
              <w:spacing w:afterAutospacing="0" w:line="276" w:lineRule="auto"/>
              <w:contextualSpacing/>
              <w:textAlignment w:val="baseline"/>
              <w:rPr>
                <w:rFonts w:ascii="Arial" w:eastAsia="Times New Roman" w:hAnsi="Arial" w:cs="Arial"/>
                <w:color w:val="181818"/>
                <w:sz w:val="20"/>
                <w:szCs w:val="20"/>
              </w:rPr>
            </w:pPr>
            <w:r w:rsidRPr="00516653">
              <w:rPr>
                <w:rFonts w:ascii="Georgia" w:eastAsia="Times New Roman" w:hAnsi="Georgia" w:cs="Arial"/>
                <w:color w:val="181818"/>
                <w:sz w:val="20"/>
                <w:szCs w:val="20"/>
                <w:shd w:val="clear" w:color="auto" w:fill="FFFFFF"/>
              </w:rPr>
              <w:t>Social security numbers, passport numbers, or  taxpayer identification number</w:t>
            </w:r>
            <w:r w:rsidR="00201226">
              <w:rPr>
                <w:rFonts w:ascii="Georgia" w:eastAsia="Times New Roman" w:hAnsi="Georgia" w:cs="Arial"/>
                <w:color w:val="181818"/>
                <w:sz w:val="20"/>
                <w:szCs w:val="20"/>
                <w:shd w:val="clear" w:color="auto" w:fill="FFFFFF"/>
              </w:rPr>
              <w:t>s</w:t>
            </w:r>
          </w:p>
          <w:p w:rsidR="00516653" w:rsidRPr="00516653" w:rsidRDefault="00516653" w:rsidP="004273E7">
            <w:pPr>
              <w:numPr>
                <w:ilvl w:val="0"/>
                <w:numId w:val="12"/>
              </w:numPr>
              <w:shd w:val="clear" w:color="auto" w:fill="FFFFFF"/>
              <w:spacing w:afterAutospacing="0" w:line="276" w:lineRule="auto"/>
              <w:contextualSpacing/>
              <w:textAlignment w:val="baseline"/>
              <w:rPr>
                <w:rFonts w:ascii="Arial" w:eastAsia="Times New Roman" w:hAnsi="Arial" w:cs="Arial"/>
                <w:color w:val="181818"/>
                <w:sz w:val="20"/>
                <w:szCs w:val="20"/>
              </w:rPr>
            </w:pPr>
            <w:r w:rsidRPr="00516653">
              <w:rPr>
                <w:rFonts w:ascii="Georgia" w:eastAsia="Times New Roman" w:hAnsi="Georgia" w:cs="Arial"/>
                <w:color w:val="181818"/>
                <w:sz w:val="20"/>
                <w:szCs w:val="20"/>
                <w:shd w:val="clear" w:color="auto" w:fill="FFFFFF"/>
              </w:rPr>
              <w:t>Patient identification number</w:t>
            </w:r>
            <w:r w:rsidR="00201226">
              <w:rPr>
                <w:rFonts w:ascii="Georgia" w:eastAsia="Times New Roman" w:hAnsi="Georgia" w:cs="Arial"/>
                <w:color w:val="181818"/>
                <w:sz w:val="20"/>
                <w:szCs w:val="20"/>
                <w:shd w:val="clear" w:color="auto" w:fill="FFFFFF"/>
              </w:rPr>
              <w:t>s</w:t>
            </w:r>
          </w:p>
          <w:p w:rsidR="00516653" w:rsidRPr="00516653" w:rsidRDefault="00516653" w:rsidP="004273E7">
            <w:pPr>
              <w:numPr>
                <w:ilvl w:val="0"/>
                <w:numId w:val="12"/>
              </w:numPr>
              <w:shd w:val="clear" w:color="auto" w:fill="FFFFFF"/>
              <w:spacing w:afterAutospacing="0" w:line="276" w:lineRule="auto"/>
              <w:ind w:right="120"/>
              <w:contextualSpacing/>
              <w:textAlignment w:val="baseline"/>
              <w:rPr>
                <w:rFonts w:ascii="Arial" w:eastAsia="Times New Roman" w:hAnsi="Arial" w:cs="Arial"/>
                <w:color w:val="000000"/>
                <w:sz w:val="20"/>
                <w:szCs w:val="20"/>
              </w:rPr>
            </w:pPr>
            <w:r w:rsidRPr="00516653">
              <w:rPr>
                <w:rFonts w:ascii="Georgia" w:eastAsia="Times New Roman" w:hAnsi="Georgia" w:cs="Arial"/>
                <w:color w:val="181818"/>
                <w:sz w:val="20"/>
                <w:szCs w:val="20"/>
                <w:shd w:val="clear" w:color="auto" w:fill="FFFFFF"/>
              </w:rPr>
              <w:t>Financial accounts or credit card numbers</w:t>
            </w:r>
          </w:p>
          <w:p w:rsidR="00516653" w:rsidRPr="00516653" w:rsidRDefault="00516653" w:rsidP="004273E7">
            <w:pPr>
              <w:numPr>
                <w:ilvl w:val="0"/>
                <w:numId w:val="12"/>
              </w:numPr>
              <w:shd w:val="clear" w:color="auto" w:fill="FFFFFF"/>
              <w:spacing w:afterAutospacing="0" w:line="276" w:lineRule="auto"/>
              <w:ind w:right="120"/>
              <w:contextualSpacing/>
              <w:textAlignment w:val="baseline"/>
              <w:rPr>
                <w:rFonts w:ascii="Arial" w:eastAsia="Times New Roman" w:hAnsi="Arial" w:cs="Arial"/>
                <w:color w:val="000000"/>
                <w:sz w:val="20"/>
                <w:szCs w:val="20"/>
              </w:rPr>
            </w:pPr>
            <w:r w:rsidRPr="00516653">
              <w:rPr>
                <w:rFonts w:ascii="Georgia" w:eastAsia="Times New Roman" w:hAnsi="Georgia" w:cs="Arial"/>
                <w:color w:val="181818"/>
                <w:sz w:val="20"/>
                <w:szCs w:val="20"/>
                <w:shd w:val="clear" w:color="auto" w:fill="FFFFFF"/>
              </w:rPr>
              <w:t>Driver’s license number</w:t>
            </w:r>
            <w:r w:rsidR="00201226">
              <w:rPr>
                <w:rFonts w:ascii="Georgia" w:eastAsia="Times New Roman" w:hAnsi="Georgia" w:cs="Arial"/>
                <w:color w:val="181818"/>
                <w:sz w:val="20"/>
                <w:szCs w:val="20"/>
                <w:shd w:val="clear" w:color="auto" w:fill="FFFFFF"/>
              </w:rPr>
              <w:t>s</w:t>
            </w:r>
          </w:p>
          <w:p w:rsidR="00516653" w:rsidRPr="00516653" w:rsidRDefault="00516653" w:rsidP="004273E7">
            <w:pPr>
              <w:numPr>
                <w:ilvl w:val="0"/>
                <w:numId w:val="12"/>
              </w:numPr>
              <w:shd w:val="clear" w:color="auto" w:fill="FFFFFF"/>
              <w:spacing w:afterAutospacing="0" w:line="276" w:lineRule="auto"/>
              <w:ind w:right="120"/>
              <w:contextualSpacing/>
              <w:textAlignment w:val="baseline"/>
              <w:rPr>
                <w:rFonts w:ascii="Arial" w:eastAsia="Times New Roman" w:hAnsi="Arial" w:cs="Arial"/>
                <w:color w:val="000000"/>
                <w:sz w:val="20"/>
                <w:szCs w:val="20"/>
              </w:rPr>
            </w:pPr>
            <w:r w:rsidRPr="00516653">
              <w:rPr>
                <w:rFonts w:ascii="Georgia" w:eastAsia="Times New Roman" w:hAnsi="Georgia" w:cs="Arial"/>
                <w:color w:val="181818"/>
                <w:sz w:val="20"/>
                <w:szCs w:val="20"/>
                <w:shd w:val="clear" w:color="auto" w:fill="FFFFFF"/>
              </w:rPr>
              <w:t>Vehicle registration number</w:t>
            </w:r>
            <w:r w:rsidR="00201226">
              <w:rPr>
                <w:rFonts w:ascii="Georgia" w:eastAsia="Times New Roman" w:hAnsi="Georgia" w:cs="Arial"/>
                <w:color w:val="181818"/>
                <w:sz w:val="20"/>
                <w:szCs w:val="20"/>
                <w:shd w:val="clear" w:color="auto" w:fill="FFFFFF"/>
              </w:rPr>
              <w:t>s</w:t>
            </w:r>
            <w:r w:rsidRPr="00516653">
              <w:rPr>
                <w:rFonts w:ascii="Georgia" w:eastAsia="Times New Roman" w:hAnsi="Georgia" w:cs="Arial"/>
                <w:color w:val="181818"/>
                <w:sz w:val="20"/>
                <w:szCs w:val="20"/>
                <w:shd w:val="clear" w:color="auto" w:fill="FFFFFF"/>
              </w:rPr>
              <w:t xml:space="preserve"> or title number</w:t>
            </w:r>
            <w:r w:rsidR="00201226">
              <w:rPr>
                <w:rFonts w:ascii="Georgia" w:eastAsia="Times New Roman" w:hAnsi="Georgia" w:cs="Arial"/>
                <w:color w:val="181818"/>
                <w:sz w:val="20"/>
                <w:szCs w:val="20"/>
                <w:shd w:val="clear" w:color="auto" w:fill="FFFFFF"/>
              </w:rPr>
              <w:t>s</w:t>
            </w:r>
            <w:r w:rsidRPr="00516653">
              <w:rPr>
                <w:rFonts w:ascii="Georgia" w:eastAsia="Times New Roman" w:hAnsi="Georgia" w:cs="Arial"/>
                <w:color w:val="181818"/>
                <w:sz w:val="20"/>
                <w:szCs w:val="20"/>
                <w:shd w:val="clear" w:color="auto" w:fill="FFFFFF"/>
              </w:rPr>
              <w:t xml:space="preserve"> </w:t>
            </w:r>
          </w:p>
          <w:p w:rsidR="00516653" w:rsidRPr="00516653" w:rsidRDefault="00516653" w:rsidP="004273E7">
            <w:pPr>
              <w:numPr>
                <w:ilvl w:val="0"/>
                <w:numId w:val="12"/>
              </w:numPr>
              <w:shd w:val="clear" w:color="auto" w:fill="FFFFFF"/>
              <w:spacing w:afterAutospacing="0" w:line="276" w:lineRule="auto"/>
              <w:ind w:right="120"/>
              <w:contextualSpacing/>
              <w:textAlignment w:val="baseline"/>
              <w:rPr>
                <w:rFonts w:ascii="Arial" w:eastAsia="Times New Roman" w:hAnsi="Arial" w:cs="Arial"/>
                <w:color w:val="000000"/>
                <w:sz w:val="20"/>
                <w:szCs w:val="20"/>
              </w:rPr>
            </w:pPr>
            <w:r w:rsidRPr="00516653">
              <w:rPr>
                <w:rFonts w:ascii="Georgia" w:eastAsia="Times New Roman" w:hAnsi="Georgia" w:cs="Arial"/>
                <w:color w:val="181818"/>
                <w:sz w:val="20"/>
                <w:szCs w:val="20"/>
                <w:shd w:val="clear" w:color="auto" w:fill="FFFFFF"/>
              </w:rPr>
              <w:t>Media Access Control (MAC) addresses</w:t>
            </w:r>
          </w:p>
          <w:p w:rsidR="00516653" w:rsidRPr="00516653" w:rsidRDefault="00516653" w:rsidP="004273E7">
            <w:pPr>
              <w:numPr>
                <w:ilvl w:val="0"/>
                <w:numId w:val="12"/>
              </w:numPr>
              <w:shd w:val="clear" w:color="auto" w:fill="FFFFFF"/>
              <w:spacing w:afterAutospacing="0" w:line="276" w:lineRule="auto"/>
              <w:ind w:right="120"/>
              <w:contextualSpacing/>
              <w:textAlignment w:val="baseline"/>
              <w:rPr>
                <w:rFonts w:ascii="Arial" w:eastAsia="Times New Roman" w:hAnsi="Arial" w:cs="Arial"/>
                <w:color w:val="000000"/>
                <w:sz w:val="20"/>
                <w:szCs w:val="20"/>
              </w:rPr>
            </w:pPr>
            <w:r w:rsidRPr="00516653">
              <w:rPr>
                <w:rFonts w:ascii="Georgia" w:eastAsia="Times New Roman" w:hAnsi="Georgia" w:cs="Arial"/>
                <w:color w:val="181818"/>
                <w:sz w:val="20"/>
                <w:szCs w:val="20"/>
                <w:shd w:val="clear" w:color="auto" w:fill="FFFFFF"/>
              </w:rPr>
              <w:t>Internet Protocol (IP) address numbers</w:t>
            </w:r>
          </w:p>
          <w:p w:rsidR="00516653" w:rsidRPr="00516653" w:rsidRDefault="00516653" w:rsidP="004273E7">
            <w:pPr>
              <w:numPr>
                <w:ilvl w:val="0"/>
                <w:numId w:val="12"/>
              </w:numPr>
              <w:shd w:val="clear" w:color="auto" w:fill="FFFFFF"/>
              <w:spacing w:afterAutospacing="0" w:line="276" w:lineRule="auto"/>
              <w:ind w:right="120"/>
              <w:contextualSpacing/>
              <w:textAlignment w:val="baseline"/>
              <w:rPr>
                <w:rFonts w:ascii="Arial" w:eastAsia="Times New Roman" w:hAnsi="Arial" w:cs="Arial"/>
                <w:color w:val="000000"/>
                <w:sz w:val="20"/>
                <w:szCs w:val="20"/>
              </w:rPr>
            </w:pPr>
            <w:r w:rsidRPr="00516653">
              <w:rPr>
                <w:rFonts w:ascii="Georgia" w:eastAsia="Times New Roman" w:hAnsi="Georgia" w:cs="Arial"/>
                <w:color w:val="181818"/>
                <w:sz w:val="20"/>
                <w:szCs w:val="20"/>
                <w:shd w:val="clear" w:color="auto" w:fill="FFFFFF"/>
              </w:rPr>
              <w:t>Biometric images or template data such as fingerprints, retina scan</w:t>
            </w:r>
            <w:r w:rsidR="00201226">
              <w:rPr>
                <w:rFonts w:ascii="Georgia" w:eastAsia="Times New Roman" w:hAnsi="Georgia" w:cs="Arial"/>
                <w:color w:val="181818"/>
                <w:sz w:val="20"/>
                <w:szCs w:val="20"/>
                <w:shd w:val="clear" w:color="auto" w:fill="FFFFFF"/>
              </w:rPr>
              <w:t>s</w:t>
            </w:r>
            <w:r w:rsidRPr="00516653">
              <w:rPr>
                <w:rFonts w:ascii="Georgia" w:eastAsia="Times New Roman" w:hAnsi="Georgia" w:cs="Arial"/>
                <w:color w:val="181818"/>
                <w:sz w:val="20"/>
                <w:szCs w:val="20"/>
                <w:shd w:val="clear" w:color="auto" w:fill="FFFFFF"/>
              </w:rPr>
              <w:t>, voice signature</w:t>
            </w:r>
            <w:r w:rsidR="00201226">
              <w:rPr>
                <w:rFonts w:ascii="Georgia" w:eastAsia="Times New Roman" w:hAnsi="Georgia" w:cs="Arial"/>
                <w:color w:val="181818"/>
                <w:sz w:val="20"/>
                <w:szCs w:val="20"/>
                <w:shd w:val="clear" w:color="auto" w:fill="FFFFFF"/>
              </w:rPr>
              <w:t>s</w:t>
            </w:r>
            <w:r w:rsidRPr="00516653">
              <w:rPr>
                <w:rFonts w:ascii="Georgia" w:eastAsia="Times New Roman" w:hAnsi="Georgia" w:cs="Arial"/>
                <w:color w:val="181818"/>
                <w:sz w:val="20"/>
                <w:szCs w:val="20"/>
                <w:shd w:val="clear" w:color="auto" w:fill="FFFFFF"/>
              </w:rPr>
              <w:t>, facial geometry</w:t>
            </w:r>
          </w:p>
          <w:p w:rsidR="004273E7" w:rsidRPr="004273E7" w:rsidRDefault="00516653" w:rsidP="004273E7">
            <w:pPr>
              <w:numPr>
                <w:ilvl w:val="0"/>
                <w:numId w:val="12"/>
              </w:numPr>
              <w:shd w:val="clear" w:color="auto" w:fill="FFFFFF"/>
              <w:spacing w:before="100" w:beforeAutospacing="1" w:afterAutospacing="0" w:line="276" w:lineRule="auto"/>
              <w:ind w:right="120"/>
              <w:contextualSpacing/>
              <w:textAlignment w:val="baseline"/>
              <w:rPr>
                <w:rFonts w:ascii="Georgia" w:eastAsia="Times New Roman" w:hAnsi="Georgia" w:cs="Times New Roman"/>
                <w:color w:val="181818"/>
                <w:sz w:val="20"/>
                <w:szCs w:val="20"/>
              </w:rPr>
            </w:pPr>
            <w:r w:rsidRPr="00516653">
              <w:rPr>
                <w:rFonts w:ascii="Georgia" w:eastAsia="Times New Roman" w:hAnsi="Georgia" w:cs="Arial"/>
                <w:color w:val="181818"/>
                <w:sz w:val="20"/>
                <w:szCs w:val="20"/>
                <w:shd w:val="clear" w:color="auto" w:fill="FFFFFF"/>
              </w:rPr>
              <w:t>Photographic images</w:t>
            </w:r>
          </w:p>
          <w:p w:rsidR="00516653" w:rsidRPr="00516653" w:rsidRDefault="00516653" w:rsidP="004273E7">
            <w:pPr>
              <w:numPr>
                <w:ilvl w:val="0"/>
                <w:numId w:val="12"/>
              </w:numPr>
              <w:shd w:val="clear" w:color="auto" w:fill="FFFFFF"/>
              <w:spacing w:before="100" w:beforeAutospacing="1" w:afterAutospacing="0" w:line="276" w:lineRule="auto"/>
              <w:ind w:right="120"/>
              <w:contextualSpacing/>
              <w:textAlignment w:val="baseline"/>
              <w:rPr>
                <w:rFonts w:ascii="Georgia" w:eastAsia="Times New Roman" w:hAnsi="Georgia" w:cs="Times New Roman"/>
                <w:color w:val="181818"/>
                <w:sz w:val="20"/>
                <w:szCs w:val="20"/>
              </w:rPr>
            </w:pPr>
            <w:r w:rsidRPr="00516653">
              <w:rPr>
                <w:rFonts w:ascii="Georgia" w:eastAsia="Times New Roman" w:hAnsi="Georgia" w:cs="Times New Roman"/>
                <w:color w:val="181818"/>
                <w:sz w:val="20"/>
                <w:szCs w:val="20"/>
                <w:shd w:val="clear" w:color="auto" w:fill="FFFFFF"/>
              </w:rPr>
              <w:t>Information about an individual that is linked or linkable to one of the above</w:t>
            </w:r>
          </w:p>
          <w:p w:rsidR="00516653" w:rsidRDefault="00516653" w:rsidP="004273E7">
            <w:pPr>
              <w:spacing w:afterAutospacing="0"/>
              <w:contextualSpacing/>
              <w:rPr>
                <w:rFonts w:ascii="Georgia" w:hAnsi="Georgia"/>
                <w:b/>
                <w:color w:val="006600"/>
                <w:sz w:val="28"/>
              </w:rPr>
            </w:pPr>
          </w:p>
        </w:tc>
      </w:tr>
    </w:tbl>
    <w:p w:rsidR="00516653" w:rsidRDefault="00516653" w:rsidP="004273E7">
      <w:pPr>
        <w:rPr>
          <w:rFonts w:ascii="Georgia" w:hAnsi="Georgia"/>
          <w:b/>
          <w:sz w:val="24"/>
        </w:rPr>
      </w:pPr>
    </w:p>
    <w:p w:rsidR="004273E7" w:rsidRPr="004273E7" w:rsidRDefault="004273E7" w:rsidP="004273E7">
      <w:pPr>
        <w:rPr>
          <w:rFonts w:ascii="Georgia" w:hAnsi="Georgia"/>
          <w:sz w:val="24"/>
        </w:rPr>
      </w:pPr>
      <w:r>
        <w:rPr>
          <w:rFonts w:ascii="Georgia" w:hAnsi="Georgia"/>
          <w:b/>
          <w:sz w:val="24"/>
        </w:rPr>
        <w:t xml:space="preserve">     </w:t>
      </w:r>
      <w:r>
        <w:rPr>
          <w:rFonts w:ascii="Georgia" w:hAnsi="Georgia"/>
          <w:sz w:val="24"/>
        </w:rPr>
        <w:t>Sprenger accepts payments from medical-related savings accounts.  Additional examples of PHI in</w:t>
      </w:r>
      <w:r w:rsidR="00201226">
        <w:rPr>
          <w:rFonts w:ascii="Georgia" w:hAnsi="Georgia"/>
          <w:sz w:val="24"/>
        </w:rPr>
        <w:t>clude Flexible Spending Account</w:t>
      </w:r>
      <w:r>
        <w:rPr>
          <w:rFonts w:ascii="Georgia" w:hAnsi="Georgia"/>
          <w:sz w:val="24"/>
        </w:rPr>
        <w:t xml:space="preserve"> (FSA) num</w:t>
      </w:r>
      <w:r w:rsidR="00201226">
        <w:rPr>
          <w:rFonts w:ascii="Georgia" w:hAnsi="Georgia"/>
          <w:sz w:val="24"/>
        </w:rPr>
        <w:t>bers and Health Savings Account</w:t>
      </w:r>
      <w:r>
        <w:rPr>
          <w:rFonts w:ascii="Georgia" w:hAnsi="Georgia"/>
          <w:sz w:val="24"/>
        </w:rPr>
        <w:t xml:space="preserve"> (HSA) numbers.</w:t>
      </w:r>
    </w:p>
    <w:p w:rsidR="00AB63B8" w:rsidRDefault="00AB63B8" w:rsidP="00AB63B8">
      <w:pPr>
        <w:rPr>
          <w:rFonts w:ascii="Georgia" w:hAnsi="Georgia"/>
          <w:b/>
          <w:color w:val="006600"/>
          <w:sz w:val="28"/>
        </w:rPr>
      </w:pPr>
    </w:p>
    <w:p w:rsidR="00AB63B8" w:rsidRDefault="00AB63B8" w:rsidP="00AB63B8">
      <w:pPr>
        <w:rPr>
          <w:rFonts w:ascii="Georgia" w:hAnsi="Georgia"/>
          <w:b/>
          <w:color w:val="006600"/>
          <w:sz w:val="28"/>
        </w:rPr>
      </w:pPr>
    </w:p>
    <w:p w:rsidR="00EE2EFE" w:rsidRDefault="00EE2EFE" w:rsidP="00EE2EFE">
      <w:pPr>
        <w:pStyle w:val="ListParagraph"/>
        <w:ind w:left="0"/>
        <w:rPr>
          <w:rFonts w:ascii="Georgia" w:hAnsi="Georgia"/>
          <w:b/>
          <w:color w:val="006600"/>
          <w:sz w:val="28"/>
        </w:rPr>
      </w:pPr>
    </w:p>
    <w:p w:rsidR="00AB63B8" w:rsidRDefault="00201226" w:rsidP="00EE2EFE">
      <w:pPr>
        <w:pStyle w:val="ListParagraph"/>
        <w:numPr>
          <w:ilvl w:val="0"/>
          <w:numId w:val="4"/>
        </w:numPr>
        <w:ind w:left="0"/>
        <w:rPr>
          <w:rFonts w:ascii="Georgia" w:hAnsi="Georgia"/>
          <w:b/>
          <w:color w:val="006600"/>
          <w:sz w:val="28"/>
        </w:rPr>
      </w:pPr>
      <w:r>
        <w:rPr>
          <w:rFonts w:ascii="Georgia" w:hAnsi="Georgia"/>
          <w:b/>
          <w:color w:val="006600"/>
          <w:sz w:val="28"/>
        </w:rPr>
        <w:t>APPROPRIATE DISPOSAL OF PII/PH</w:t>
      </w:r>
      <w:r w:rsidR="00AB63B8" w:rsidRPr="00EE2EFE">
        <w:rPr>
          <w:rFonts w:ascii="Georgia" w:hAnsi="Georgia"/>
          <w:b/>
          <w:color w:val="006600"/>
          <w:sz w:val="28"/>
        </w:rPr>
        <w:t>I</w:t>
      </w:r>
      <w:r w:rsidR="00EE2EFE">
        <w:rPr>
          <w:rFonts w:ascii="Georgia" w:hAnsi="Georgia"/>
          <w:b/>
          <w:color w:val="006600"/>
          <w:sz w:val="28"/>
        </w:rPr>
        <w:t>:</w:t>
      </w:r>
    </w:p>
    <w:p w:rsidR="005F22BA" w:rsidRDefault="005F22BA" w:rsidP="00674D19">
      <w:pPr>
        <w:spacing w:line="276" w:lineRule="auto"/>
        <w:rPr>
          <w:rFonts w:ascii="Georgia" w:hAnsi="Georgia"/>
          <w:sz w:val="24"/>
        </w:rPr>
      </w:pPr>
      <w:r>
        <w:rPr>
          <w:rFonts w:ascii="Georgia" w:hAnsi="Georgia"/>
          <w:sz w:val="24"/>
        </w:rPr>
        <w:t xml:space="preserve">     In accordance with </w:t>
      </w:r>
      <w:r>
        <w:rPr>
          <w:rFonts w:ascii="Georgia" w:hAnsi="Georgia"/>
          <w:i/>
          <w:sz w:val="24"/>
        </w:rPr>
        <w:t>45 CFR 164.520(c)</w:t>
      </w:r>
      <w:r>
        <w:rPr>
          <w:rFonts w:ascii="Georgia" w:hAnsi="Georgia"/>
          <w:sz w:val="24"/>
        </w:rPr>
        <w:t xml:space="preserve"> HIPAA requires that covered entities apply appropriate administrative, technical, and physical safeguards to protect the privacy of PHI, in any form.  As such, Sprenger implements reasonable safeguards to limit incidental, and avoid prohibited, uses and disclosures of PHI, including in connection wit</w:t>
      </w:r>
      <w:r w:rsidR="00201226">
        <w:rPr>
          <w:rFonts w:ascii="Georgia" w:hAnsi="Georgia"/>
          <w:sz w:val="24"/>
        </w:rPr>
        <w:t>h disposal of such information. R</w:t>
      </w:r>
      <w:r>
        <w:rPr>
          <w:rFonts w:ascii="Georgia" w:hAnsi="Georgia"/>
          <w:sz w:val="24"/>
        </w:rPr>
        <w:t>efer to the “</w:t>
      </w:r>
      <w:r>
        <w:rPr>
          <w:rFonts w:ascii="Georgia" w:hAnsi="Georgia"/>
          <w:i/>
          <w:sz w:val="24"/>
        </w:rPr>
        <w:t>Controls</w:t>
      </w:r>
      <w:r>
        <w:rPr>
          <w:rFonts w:ascii="Georgia" w:hAnsi="Georgia"/>
          <w:sz w:val="24"/>
        </w:rPr>
        <w:t xml:space="preserve">” section of this document to validate the internal controls in place around the administrative, technical and physical </w:t>
      </w:r>
      <w:r w:rsidR="00201226">
        <w:rPr>
          <w:rFonts w:ascii="Georgia" w:hAnsi="Georgia"/>
          <w:sz w:val="24"/>
        </w:rPr>
        <w:t>safeguards of PHI</w:t>
      </w:r>
      <w:r>
        <w:rPr>
          <w:rFonts w:ascii="Georgia" w:hAnsi="Georgia"/>
          <w:sz w:val="24"/>
        </w:rPr>
        <w:t xml:space="preserve">.  It should be noted that all </w:t>
      </w:r>
      <w:r w:rsidR="00201226">
        <w:rPr>
          <w:rFonts w:ascii="Georgia" w:hAnsi="Georgia"/>
          <w:sz w:val="24"/>
        </w:rPr>
        <w:t xml:space="preserve">Sprenger </w:t>
      </w:r>
      <w:r>
        <w:rPr>
          <w:rFonts w:ascii="Georgia" w:hAnsi="Georgia"/>
          <w:sz w:val="24"/>
        </w:rPr>
        <w:t>personnel</w:t>
      </w:r>
      <w:r w:rsidR="00201226">
        <w:rPr>
          <w:rFonts w:ascii="Georgia" w:hAnsi="Georgia"/>
          <w:sz w:val="24"/>
        </w:rPr>
        <w:t xml:space="preserve"> and </w:t>
      </w:r>
      <w:r>
        <w:rPr>
          <w:rFonts w:ascii="Georgia" w:hAnsi="Georgia"/>
          <w:sz w:val="24"/>
        </w:rPr>
        <w:t>business associates must receive training on and follow the disposal policies and procedures:</w:t>
      </w:r>
    </w:p>
    <w:p w:rsidR="005F22BA" w:rsidRPr="00223282" w:rsidRDefault="005F22BA" w:rsidP="00674D19">
      <w:pPr>
        <w:pStyle w:val="ListParagraph"/>
        <w:numPr>
          <w:ilvl w:val="0"/>
          <w:numId w:val="14"/>
        </w:numPr>
        <w:spacing w:line="276" w:lineRule="auto"/>
        <w:rPr>
          <w:rFonts w:ascii="Georgia" w:hAnsi="Georgia"/>
          <w:b/>
          <w:sz w:val="24"/>
          <w:u w:val="single"/>
        </w:rPr>
      </w:pPr>
      <w:r w:rsidRPr="00223282">
        <w:rPr>
          <w:rFonts w:ascii="Georgia" w:hAnsi="Georgia"/>
          <w:b/>
          <w:sz w:val="24"/>
          <w:u w:val="single"/>
        </w:rPr>
        <w:t>Branded/Non-Branded PHI (Hard Copy Format):</w:t>
      </w:r>
    </w:p>
    <w:p w:rsidR="0083193E" w:rsidRDefault="0083193E" w:rsidP="00674D19">
      <w:pPr>
        <w:pStyle w:val="ListParagraph"/>
        <w:numPr>
          <w:ilvl w:val="1"/>
          <w:numId w:val="14"/>
        </w:numPr>
        <w:spacing w:line="276" w:lineRule="auto"/>
        <w:rPr>
          <w:rFonts w:ascii="Georgia" w:hAnsi="Georgia"/>
          <w:sz w:val="24"/>
        </w:rPr>
      </w:pPr>
      <w:r>
        <w:rPr>
          <w:rFonts w:ascii="Georgia" w:hAnsi="Georgia"/>
          <w:sz w:val="24"/>
        </w:rPr>
        <w:t>Under federal guidelines all PHI in this format must be rendered essentially unreadable, indecipherable and otherwise cannot be reconstructed.</w:t>
      </w:r>
    </w:p>
    <w:p w:rsidR="0083193E" w:rsidRDefault="0083193E" w:rsidP="00674D19">
      <w:pPr>
        <w:pStyle w:val="ListParagraph"/>
        <w:numPr>
          <w:ilvl w:val="1"/>
          <w:numId w:val="14"/>
        </w:numPr>
        <w:spacing w:line="276" w:lineRule="auto"/>
        <w:rPr>
          <w:rFonts w:ascii="Georgia" w:hAnsi="Georgia"/>
          <w:sz w:val="24"/>
        </w:rPr>
      </w:pPr>
      <w:r>
        <w:rPr>
          <w:rFonts w:ascii="Georgia" w:hAnsi="Georgia"/>
          <w:sz w:val="24"/>
        </w:rPr>
        <w:t>Under this guidance the only acce</w:t>
      </w:r>
      <w:r w:rsidR="006358B2">
        <w:rPr>
          <w:rFonts w:ascii="Georgia" w:hAnsi="Georgia"/>
          <w:sz w:val="24"/>
        </w:rPr>
        <w:t>ptable forms of destruction are</w:t>
      </w:r>
      <w:r>
        <w:rPr>
          <w:rFonts w:ascii="Georgia" w:hAnsi="Georgia"/>
          <w:sz w:val="24"/>
        </w:rPr>
        <w:t xml:space="preserve"> burning, pulping and pulverizing records in a controlled environment.</w:t>
      </w:r>
    </w:p>
    <w:p w:rsidR="0083193E" w:rsidRPr="00223282" w:rsidRDefault="0083193E" w:rsidP="00674D19">
      <w:pPr>
        <w:pStyle w:val="ListParagraph"/>
        <w:numPr>
          <w:ilvl w:val="0"/>
          <w:numId w:val="14"/>
        </w:numPr>
        <w:spacing w:line="276" w:lineRule="auto"/>
        <w:rPr>
          <w:rFonts w:ascii="Georgia" w:hAnsi="Georgia"/>
          <w:b/>
          <w:sz w:val="24"/>
          <w:u w:val="single"/>
        </w:rPr>
      </w:pPr>
      <w:r w:rsidRPr="00223282">
        <w:rPr>
          <w:rFonts w:ascii="Georgia" w:hAnsi="Georgia"/>
          <w:b/>
          <w:sz w:val="24"/>
          <w:u w:val="single"/>
        </w:rPr>
        <w:t>Labeled Prescription Bottles:</w:t>
      </w:r>
    </w:p>
    <w:p w:rsidR="0083193E" w:rsidRDefault="0083193E" w:rsidP="00674D19">
      <w:pPr>
        <w:pStyle w:val="ListParagraph"/>
        <w:numPr>
          <w:ilvl w:val="1"/>
          <w:numId w:val="14"/>
        </w:numPr>
        <w:spacing w:line="276" w:lineRule="auto"/>
        <w:rPr>
          <w:rFonts w:ascii="Georgia" w:hAnsi="Georgia"/>
          <w:sz w:val="24"/>
        </w:rPr>
      </w:pPr>
      <w:r>
        <w:rPr>
          <w:rFonts w:ascii="Georgia" w:hAnsi="Georgia"/>
          <w:sz w:val="24"/>
        </w:rPr>
        <w:t>Sprenger users a covered business associate, “Shred-It” to pick-up, on a weekly basis, to disp</w:t>
      </w:r>
      <w:r w:rsidR="006358B2">
        <w:rPr>
          <w:rFonts w:ascii="Georgia" w:hAnsi="Georgia"/>
          <w:sz w:val="24"/>
        </w:rPr>
        <w:t xml:space="preserve">ose of or otherwise destroy </w:t>
      </w:r>
      <w:r>
        <w:rPr>
          <w:rFonts w:ascii="Georgia" w:hAnsi="Georgia"/>
          <w:sz w:val="24"/>
        </w:rPr>
        <w:t xml:space="preserve">PHI.  It should be noted that Shred-It is retained via </w:t>
      </w:r>
      <w:r w:rsidR="006358B2">
        <w:rPr>
          <w:rFonts w:ascii="Georgia" w:hAnsi="Georgia"/>
          <w:sz w:val="24"/>
        </w:rPr>
        <w:t xml:space="preserve">a </w:t>
      </w:r>
      <w:r>
        <w:rPr>
          <w:rFonts w:ascii="Georgia" w:hAnsi="Georgia"/>
          <w:sz w:val="24"/>
        </w:rPr>
        <w:t>signed business associate contract and has a current signed Master Service Agreement.  Shred-It also provides an annual SOC1 around their internal controls to provide to external auditors.  Call internal audit for the above mentioned documents (x21575).</w:t>
      </w:r>
    </w:p>
    <w:p w:rsidR="0083193E" w:rsidRPr="00223282" w:rsidRDefault="0083193E" w:rsidP="00674D19">
      <w:pPr>
        <w:pStyle w:val="ListParagraph"/>
        <w:numPr>
          <w:ilvl w:val="0"/>
          <w:numId w:val="14"/>
        </w:numPr>
        <w:spacing w:line="276" w:lineRule="auto"/>
        <w:rPr>
          <w:rFonts w:ascii="Georgia" w:hAnsi="Georgia"/>
          <w:b/>
          <w:sz w:val="24"/>
          <w:u w:val="single"/>
        </w:rPr>
      </w:pPr>
      <w:r w:rsidRPr="00223282">
        <w:rPr>
          <w:rFonts w:ascii="Georgia" w:hAnsi="Georgia"/>
          <w:b/>
          <w:sz w:val="24"/>
          <w:u w:val="single"/>
        </w:rPr>
        <w:t>PHI on Electronic Media:</w:t>
      </w:r>
    </w:p>
    <w:p w:rsidR="0083193E" w:rsidRDefault="0083193E" w:rsidP="00674D19">
      <w:pPr>
        <w:pStyle w:val="ListParagraph"/>
        <w:numPr>
          <w:ilvl w:val="1"/>
          <w:numId w:val="14"/>
        </w:numPr>
        <w:spacing w:line="276" w:lineRule="auto"/>
        <w:rPr>
          <w:rFonts w:ascii="Georgia" w:hAnsi="Georgia"/>
          <w:sz w:val="24"/>
        </w:rPr>
      </w:pPr>
      <w:r>
        <w:rPr>
          <w:rFonts w:ascii="Georgia" w:hAnsi="Georgia"/>
          <w:sz w:val="24"/>
        </w:rPr>
        <w:t>Under federal guidelines all electronic PHI must be rendered irrecoverable, unreadable, indecipherable or otherwise logically or physically destroyed.</w:t>
      </w:r>
    </w:p>
    <w:p w:rsidR="004301D1" w:rsidRDefault="004301D1" w:rsidP="00674D19">
      <w:pPr>
        <w:pStyle w:val="ListParagraph"/>
        <w:numPr>
          <w:ilvl w:val="1"/>
          <w:numId w:val="14"/>
        </w:numPr>
        <w:spacing w:line="276" w:lineRule="auto"/>
        <w:rPr>
          <w:rFonts w:ascii="Georgia" w:hAnsi="Georgia"/>
          <w:sz w:val="24"/>
        </w:rPr>
      </w:pPr>
      <w:r>
        <w:rPr>
          <w:rFonts w:ascii="Georgia" w:hAnsi="Georgia"/>
          <w:sz w:val="24"/>
        </w:rPr>
        <w:t>Physical Destructio</w:t>
      </w:r>
      <w:r w:rsidR="004367BE">
        <w:rPr>
          <w:rFonts w:ascii="Georgia" w:hAnsi="Georgia"/>
          <w:sz w:val="24"/>
        </w:rPr>
        <w:t>n</w:t>
      </w:r>
      <w:r>
        <w:rPr>
          <w:rFonts w:ascii="Georgia" w:hAnsi="Georgia"/>
          <w:sz w:val="24"/>
        </w:rPr>
        <w:t>:</w:t>
      </w:r>
    </w:p>
    <w:p w:rsidR="0083193E" w:rsidRDefault="0083193E" w:rsidP="00674D19">
      <w:pPr>
        <w:pStyle w:val="ListParagraph"/>
        <w:numPr>
          <w:ilvl w:val="2"/>
          <w:numId w:val="14"/>
        </w:numPr>
        <w:spacing w:line="276" w:lineRule="auto"/>
        <w:rPr>
          <w:rFonts w:ascii="Georgia" w:hAnsi="Georgia"/>
          <w:sz w:val="24"/>
        </w:rPr>
      </w:pPr>
      <w:r>
        <w:rPr>
          <w:rFonts w:ascii="Georgia" w:hAnsi="Georgia"/>
          <w:sz w:val="24"/>
        </w:rPr>
        <w:t>Under physical circumstances the hard copy destruction processes apply.</w:t>
      </w:r>
    </w:p>
    <w:p w:rsidR="0083193E" w:rsidRDefault="0083193E" w:rsidP="00674D19">
      <w:pPr>
        <w:pStyle w:val="ListParagraph"/>
        <w:numPr>
          <w:ilvl w:val="1"/>
          <w:numId w:val="14"/>
        </w:numPr>
        <w:spacing w:line="276" w:lineRule="auto"/>
        <w:rPr>
          <w:rFonts w:ascii="Georgia" w:hAnsi="Georgia"/>
          <w:sz w:val="24"/>
        </w:rPr>
      </w:pPr>
      <w:r>
        <w:rPr>
          <w:rFonts w:ascii="Georgia" w:hAnsi="Georgia"/>
          <w:sz w:val="24"/>
        </w:rPr>
        <w:t>Clearing (Zeroization):</w:t>
      </w:r>
    </w:p>
    <w:p w:rsidR="0083193E" w:rsidRDefault="0083193E" w:rsidP="00674D19">
      <w:pPr>
        <w:pStyle w:val="ListParagraph"/>
        <w:numPr>
          <w:ilvl w:val="2"/>
          <w:numId w:val="14"/>
        </w:numPr>
        <w:spacing w:line="276" w:lineRule="auto"/>
        <w:rPr>
          <w:rFonts w:ascii="Georgia" w:hAnsi="Georgia"/>
          <w:sz w:val="24"/>
        </w:rPr>
      </w:pPr>
      <w:r>
        <w:rPr>
          <w:rFonts w:ascii="Georgia" w:hAnsi="Georgia"/>
          <w:sz w:val="24"/>
        </w:rPr>
        <w:t>Sprenger retains software to overwrite media with non-sensitive data and is to be used in the destruction of PHI.</w:t>
      </w:r>
    </w:p>
    <w:p w:rsidR="0083193E" w:rsidRDefault="0083193E" w:rsidP="00674D19">
      <w:pPr>
        <w:pStyle w:val="ListParagraph"/>
        <w:numPr>
          <w:ilvl w:val="1"/>
          <w:numId w:val="14"/>
        </w:numPr>
        <w:spacing w:line="276" w:lineRule="auto"/>
        <w:rPr>
          <w:rFonts w:ascii="Georgia" w:hAnsi="Georgia"/>
          <w:sz w:val="24"/>
        </w:rPr>
      </w:pPr>
      <w:r>
        <w:rPr>
          <w:rFonts w:ascii="Georgia" w:hAnsi="Georgia"/>
          <w:sz w:val="24"/>
        </w:rPr>
        <w:lastRenderedPageBreak/>
        <w:t>Purging:</w:t>
      </w:r>
    </w:p>
    <w:p w:rsidR="00AB63B8" w:rsidRPr="00674D19" w:rsidRDefault="0083193E" w:rsidP="006A427A">
      <w:pPr>
        <w:pStyle w:val="ListParagraph"/>
        <w:numPr>
          <w:ilvl w:val="2"/>
          <w:numId w:val="14"/>
        </w:numPr>
        <w:spacing w:line="276" w:lineRule="auto"/>
        <w:rPr>
          <w:rFonts w:ascii="Georgia" w:hAnsi="Georgia"/>
          <w:b/>
          <w:color w:val="006600"/>
          <w:sz w:val="28"/>
        </w:rPr>
      </w:pPr>
      <w:r w:rsidRPr="00674D19">
        <w:rPr>
          <w:rFonts w:ascii="Georgia" w:hAnsi="Georgia"/>
          <w:sz w:val="24"/>
        </w:rPr>
        <w:t>Release all PHI t</w:t>
      </w:r>
      <w:r w:rsidR="004301D1" w:rsidRPr="00674D19">
        <w:rPr>
          <w:rFonts w:ascii="Georgia" w:hAnsi="Georgia"/>
          <w:sz w:val="24"/>
        </w:rPr>
        <w:t>hat is to be disposed of to</w:t>
      </w:r>
      <w:r w:rsidR="00D81547">
        <w:rPr>
          <w:rFonts w:ascii="Georgia" w:hAnsi="Georgia"/>
          <w:sz w:val="24"/>
        </w:rPr>
        <w:t xml:space="preserve"> Sprenger</w:t>
      </w:r>
      <w:r w:rsidR="004301D1" w:rsidRPr="00674D19">
        <w:rPr>
          <w:rFonts w:ascii="Georgia" w:hAnsi="Georgia"/>
          <w:sz w:val="24"/>
        </w:rPr>
        <w:t xml:space="preserve"> IT (</w:t>
      </w:r>
      <w:r w:rsidRPr="00674D19">
        <w:rPr>
          <w:rFonts w:ascii="Georgia" w:hAnsi="Georgia"/>
          <w:sz w:val="24"/>
        </w:rPr>
        <w:t>Building 3 Room 911A</w:t>
      </w:r>
      <w:r w:rsidR="004301D1" w:rsidRPr="00674D19">
        <w:rPr>
          <w:rFonts w:ascii="Georgia" w:hAnsi="Georgia"/>
          <w:sz w:val="24"/>
        </w:rPr>
        <w:t>) to degauss the media.</w:t>
      </w:r>
    </w:p>
    <w:p w:rsidR="00AB63B8" w:rsidRDefault="00AB63B8" w:rsidP="00AB63B8">
      <w:pPr>
        <w:rPr>
          <w:rFonts w:ascii="Georgia" w:hAnsi="Georgia"/>
          <w:b/>
          <w:color w:val="006600"/>
          <w:sz w:val="28"/>
        </w:rPr>
      </w:pPr>
    </w:p>
    <w:p w:rsidR="00FE60A8" w:rsidRDefault="00EE2EFE" w:rsidP="00EE2EFE">
      <w:pPr>
        <w:pStyle w:val="ListParagraph"/>
        <w:numPr>
          <w:ilvl w:val="0"/>
          <w:numId w:val="4"/>
        </w:numPr>
        <w:ind w:left="0"/>
        <w:rPr>
          <w:rFonts w:ascii="Georgia" w:hAnsi="Georgia"/>
          <w:b/>
          <w:color w:val="006600"/>
          <w:sz w:val="28"/>
        </w:rPr>
      </w:pPr>
      <w:r>
        <w:rPr>
          <w:rFonts w:ascii="Georgia" w:hAnsi="Georgia"/>
          <w:b/>
          <w:color w:val="006600"/>
          <w:sz w:val="28"/>
        </w:rPr>
        <w:t>CONTROLS:</w:t>
      </w:r>
    </w:p>
    <w:p w:rsidR="00FE60A8" w:rsidRDefault="00FE60A8" w:rsidP="00FE60A8">
      <w:pPr>
        <w:pStyle w:val="ListParagraph"/>
        <w:ind w:left="0"/>
        <w:rPr>
          <w:rFonts w:ascii="Georgia" w:hAnsi="Georgia"/>
          <w:b/>
          <w:color w:val="006600"/>
          <w:sz w:val="28"/>
        </w:rPr>
      </w:pPr>
    </w:p>
    <w:p w:rsidR="00EE2EFE" w:rsidRDefault="00FE60A8" w:rsidP="00223282">
      <w:pPr>
        <w:pStyle w:val="ListParagraph"/>
        <w:spacing w:line="276" w:lineRule="auto"/>
        <w:ind w:left="0"/>
        <w:rPr>
          <w:rFonts w:ascii="Georgia" w:hAnsi="Georgia"/>
          <w:sz w:val="24"/>
        </w:rPr>
      </w:pPr>
      <w:r>
        <w:rPr>
          <w:rFonts w:ascii="Georgia" w:hAnsi="Georgia"/>
          <w:b/>
          <w:color w:val="006600"/>
          <w:sz w:val="28"/>
        </w:rPr>
        <w:t xml:space="preserve">     </w:t>
      </w:r>
      <w:r w:rsidR="001B328B" w:rsidRPr="00FE60A8">
        <w:rPr>
          <w:rFonts w:ascii="Georgia" w:hAnsi="Georgia"/>
          <w:sz w:val="24"/>
        </w:rPr>
        <w:t xml:space="preserve">In accordance with </w:t>
      </w:r>
      <w:r w:rsidR="001B328B" w:rsidRPr="00FE60A8">
        <w:rPr>
          <w:rFonts w:ascii="Georgia" w:hAnsi="Georgia"/>
          <w:i/>
          <w:sz w:val="24"/>
        </w:rPr>
        <w:t>45 CFR 164.520(c)</w:t>
      </w:r>
      <w:r w:rsidR="001B328B" w:rsidRPr="00FE60A8">
        <w:rPr>
          <w:rFonts w:ascii="Georgia" w:hAnsi="Georgia"/>
          <w:sz w:val="24"/>
        </w:rPr>
        <w:t xml:space="preserve"> HIPAA</w:t>
      </w:r>
      <w:r>
        <w:rPr>
          <w:rFonts w:ascii="Georgia" w:hAnsi="Georgia"/>
          <w:sz w:val="24"/>
        </w:rPr>
        <w:t>, Sprenger Internal Audit department as well as management has developed internal contr</w:t>
      </w:r>
      <w:r w:rsidR="006358B2">
        <w:rPr>
          <w:rFonts w:ascii="Georgia" w:hAnsi="Georgia"/>
          <w:sz w:val="24"/>
        </w:rPr>
        <w:t>ols around the destruction of PII/PH</w:t>
      </w:r>
      <w:r>
        <w:rPr>
          <w:rFonts w:ascii="Georgia" w:hAnsi="Georgia"/>
          <w:sz w:val="24"/>
        </w:rPr>
        <w:t>I data in accordance with guidelines set forth above.</w:t>
      </w:r>
    </w:p>
    <w:p w:rsidR="00FE60A8" w:rsidRDefault="00FE60A8" w:rsidP="00223282">
      <w:pPr>
        <w:pStyle w:val="ListParagraph"/>
        <w:spacing w:line="276" w:lineRule="auto"/>
        <w:ind w:left="0"/>
        <w:rPr>
          <w:rFonts w:ascii="Georgia" w:hAnsi="Georgia"/>
          <w:sz w:val="24"/>
        </w:rPr>
      </w:pPr>
    </w:p>
    <w:p w:rsidR="00FE60A8" w:rsidRDefault="00FE60A8" w:rsidP="00223282">
      <w:pPr>
        <w:pStyle w:val="ListParagraph"/>
        <w:spacing w:line="276" w:lineRule="auto"/>
        <w:ind w:left="0"/>
        <w:rPr>
          <w:rFonts w:ascii="Georgia" w:hAnsi="Georgia"/>
          <w:sz w:val="24"/>
        </w:rPr>
      </w:pPr>
      <w:r>
        <w:rPr>
          <w:rFonts w:ascii="Georgia" w:hAnsi="Georgia"/>
          <w:sz w:val="24"/>
        </w:rPr>
        <w:t xml:space="preserve">     The internal operational controls in place at Sprenger that set forth the processes personnel must abide by when disposing of </w:t>
      </w:r>
      <w:r w:rsidR="004C1300">
        <w:rPr>
          <w:rFonts w:ascii="Georgia" w:hAnsi="Georgia"/>
          <w:sz w:val="24"/>
        </w:rPr>
        <w:t>PII and PHI</w:t>
      </w:r>
      <w:r>
        <w:rPr>
          <w:rFonts w:ascii="Georgia" w:hAnsi="Georgia"/>
          <w:sz w:val="24"/>
        </w:rPr>
        <w:t xml:space="preserve"> can be found in detail from our </w:t>
      </w:r>
      <w:bookmarkStart w:id="0" w:name="_GoBack"/>
      <w:bookmarkEnd w:id="0"/>
      <w:r>
        <w:rPr>
          <w:rFonts w:ascii="Georgia" w:hAnsi="Georgia"/>
          <w:sz w:val="24"/>
        </w:rPr>
        <w:t xml:space="preserve">internal audit department.  On an annual basis Sprenger hires an external auditor </w:t>
      </w:r>
      <w:r w:rsidR="006358B2">
        <w:rPr>
          <w:rFonts w:ascii="Georgia" w:hAnsi="Georgia"/>
          <w:sz w:val="24"/>
        </w:rPr>
        <w:t>that performs attestation work</w:t>
      </w:r>
      <w:r>
        <w:rPr>
          <w:rFonts w:ascii="Georgia" w:hAnsi="Georgia"/>
          <w:sz w:val="24"/>
        </w:rPr>
        <w:t xml:space="preserve"> providing stakeholders reasonable assurance that Sprenger, its personnel</w:t>
      </w:r>
      <w:r w:rsidR="006358B2">
        <w:rPr>
          <w:rFonts w:ascii="Georgia" w:hAnsi="Georgia"/>
          <w:sz w:val="24"/>
        </w:rPr>
        <w:t>, and its business associates</w:t>
      </w:r>
      <w:r>
        <w:rPr>
          <w:rFonts w:ascii="Georgia" w:hAnsi="Georgia"/>
          <w:sz w:val="24"/>
        </w:rPr>
        <w:t xml:space="preserve"> are compliant with statutory requirements in addition to policies, procedures and processes governing the destruction of data.</w:t>
      </w:r>
    </w:p>
    <w:p w:rsidR="00FE60A8" w:rsidRDefault="00FE60A8" w:rsidP="00223282">
      <w:pPr>
        <w:pStyle w:val="ListParagraph"/>
        <w:spacing w:line="276" w:lineRule="auto"/>
        <w:ind w:left="0"/>
        <w:rPr>
          <w:rFonts w:ascii="Georgia" w:hAnsi="Georgia"/>
          <w:sz w:val="24"/>
        </w:rPr>
      </w:pPr>
    </w:p>
    <w:p w:rsidR="00FE60A8" w:rsidRDefault="00FE60A8" w:rsidP="00223282">
      <w:pPr>
        <w:pStyle w:val="ListParagraph"/>
        <w:spacing w:line="276" w:lineRule="auto"/>
        <w:ind w:left="0"/>
        <w:rPr>
          <w:rFonts w:ascii="Georgia" w:hAnsi="Georgia"/>
          <w:sz w:val="24"/>
        </w:rPr>
      </w:pPr>
      <w:r>
        <w:rPr>
          <w:rFonts w:ascii="Georgia" w:hAnsi="Georgia"/>
          <w:sz w:val="24"/>
        </w:rPr>
        <w:t xml:space="preserve">     For additional information or copies of reports and controls please co</w:t>
      </w:r>
      <w:r w:rsidR="006358B2">
        <w:rPr>
          <w:rFonts w:ascii="Georgia" w:hAnsi="Georgia"/>
          <w:sz w:val="24"/>
        </w:rPr>
        <w:t>ntact Internal A</w:t>
      </w:r>
      <w:r>
        <w:rPr>
          <w:rFonts w:ascii="Georgia" w:hAnsi="Georgia"/>
          <w:sz w:val="24"/>
        </w:rPr>
        <w:t>udit:</w:t>
      </w:r>
    </w:p>
    <w:p w:rsidR="00FE60A8" w:rsidRDefault="00FE60A8" w:rsidP="00223282">
      <w:pPr>
        <w:pStyle w:val="ListParagraph"/>
        <w:spacing w:line="276" w:lineRule="auto"/>
        <w:ind w:left="0"/>
        <w:rPr>
          <w:rFonts w:ascii="Georgia" w:hAnsi="Georgia"/>
          <w:sz w:val="24"/>
        </w:rPr>
      </w:pPr>
    </w:p>
    <w:p w:rsidR="006358B2" w:rsidRDefault="00FE60A8" w:rsidP="00223282">
      <w:pPr>
        <w:pStyle w:val="ListParagraph"/>
        <w:spacing w:line="276" w:lineRule="auto"/>
        <w:ind w:left="0"/>
        <w:rPr>
          <w:rFonts w:ascii="Georgia" w:hAnsi="Georgia"/>
          <w:sz w:val="24"/>
        </w:rPr>
      </w:pPr>
      <w:r>
        <w:rPr>
          <w:rFonts w:ascii="Georgia" w:hAnsi="Georgia"/>
          <w:sz w:val="24"/>
        </w:rPr>
        <w:tab/>
      </w:r>
      <w:r w:rsidR="006358B2">
        <w:rPr>
          <w:rFonts w:ascii="Georgia" w:hAnsi="Georgia"/>
          <w:sz w:val="24"/>
        </w:rPr>
        <w:t>Sprenger Health Care Systems</w:t>
      </w:r>
    </w:p>
    <w:p w:rsidR="00FE60A8" w:rsidRDefault="00FE60A8" w:rsidP="006358B2">
      <w:pPr>
        <w:pStyle w:val="ListParagraph"/>
        <w:spacing w:line="276" w:lineRule="auto"/>
        <w:ind w:left="0" w:firstLine="720"/>
        <w:rPr>
          <w:rFonts w:ascii="Georgia" w:hAnsi="Georgia"/>
          <w:sz w:val="24"/>
        </w:rPr>
      </w:pPr>
      <w:r>
        <w:rPr>
          <w:rFonts w:ascii="Georgia" w:hAnsi="Georgia"/>
          <w:sz w:val="24"/>
        </w:rPr>
        <w:t>c/o Internal Audit</w:t>
      </w:r>
    </w:p>
    <w:p w:rsidR="00FE60A8" w:rsidRDefault="00FE60A8" w:rsidP="00223282">
      <w:pPr>
        <w:pStyle w:val="ListParagraph"/>
        <w:spacing w:line="276" w:lineRule="auto"/>
        <w:ind w:left="0"/>
        <w:rPr>
          <w:rFonts w:ascii="Georgia" w:hAnsi="Georgia"/>
          <w:sz w:val="24"/>
        </w:rPr>
      </w:pPr>
      <w:r>
        <w:rPr>
          <w:rFonts w:ascii="Georgia" w:hAnsi="Georgia"/>
          <w:sz w:val="24"/>
        </w:rPr>
        <w:tab/>
        <w:t>243 Hospital Way</w:t>
      </w:r>
      <w:r w:rsidR="00223282">
        <w:rPr>
          <w:rFonts w:ascii="Georgia" w:hAnsi="Georgia"/>
          <w:sz w:val="24"/>
        </w:rPr>
        <w:t xml:space="preserve"> </w:t>
      </w:r>
    </w:p>
    <w:p w:rsidR="00FE60A8" w:rsidRDefault="00FE60A8" w:rsidP="00223282">
      <w:pPr>
        <w:pStyle w:val="ListParagraph"/>
        <w:spacing w:line="276" w:lineRule="auto"/>
        <w:ind w:left="0"/>
        <w:rPr>
          <w:rFonts w:ascii="Georgia" w:hAnsi="Georgia"/>
          <w:sz w:val="24"/>
        </w:rPr>
      </w:pPr>
      <w:r>
        <w:rPr>
          <w:rFonts w:ascii="Georgia" w:hAnsi="Georgia"/>
          <w:sz w:val="24"/>
        </w:rPr>
        <w:tab/>
        <w:t>Dallas, PA</w:t>
      </w:r>
      <w:r w:rsidR="00223282">
        <w:rPr>
          <w:rFonts w:ascii="Georgia" w:hAnsi="Georgia"/>
          <w:sz w:val="24"/>
        </w:rPr>
        <w:t>. 18969</w:t>
      </w:r>
    </w:p>
    <w:p w:rsidR="00FE60A8" w:rsidRDefault="00FE60A8" w:rsidP="00223282">
      <w:pPr>
        <w:pStyle w:val="ListParagraph"/>
        <w:spacing w:line="276" w:lineRule="auto"/>
        <w:ind w:left="0"/>
        <w:rPr>
          <w:rFonts w:ascii="Georgia" w:hAnsi="Georgia"/>
          <w:sz w:val="24"/>
        </w:rPr>
      </w:pPr>
      <w:r>
        <w:rPr>
          <w:rFonts w:ascii="Georgia" w:hAnsi="Georgia"/>
          <w:sz w:val="24"/>
        </w:rPr>
        <w:tab/>
        <w:t>263-952-1575</w:t>
      </w:r>
    </w:p>
    <w:p w:rsidR="00FE60A8" w:rsidRDefault="00FE60A8" w:rsidP="00223282">
      <w:pPr>
        <w:pStyle w:val="ListParagraph"/>
        <w:spacing w:line="276" w:lineRule="auto"/>
        <w:ind w:left="0"/>
        <w:rPr>
          <w:rFonts w:ascii="Georgia" w:hAnsi="Georgia"/>
          <w:sz w:val="24"/>
        </w:rPr>
      </w:pPr>
      <w:r>
        <w:rPr>
          <w:rFonts w:ascii="Georgia" w:hAnsi="Georgia"/>
          <w:sz w:val="24"/>
        </w:rPr>
        <w:tab/>
      </w:r>
      <w:hyperlink r:id="rId9" w:history="1">
        <w:r w:rsidRPr="00E345C4">
          <w:rPr>
            <w:rStyle w:val="Hyperlink"/>
            <w:rFonts w:ascii="Georgia" w:hAnsi="Georgia"/>
            <w:sz w:val="24"/>
          </w:rPr>
          <w:t>SprengerAuditors@SPHospital.org</w:t>
        </w:r>
      </w:hyperlink>
    </w:p>
    <w:p w:rsidR="00FE60A8" w:rsidRDefault="00FE60A8" w:rsidP="00FE60A8">
      <w:pPr>
        <w:pStyle w:val="ListParagraph"/>
        <w:ind w:left="0"/>
        <w:rPr>
          <w:rFonts w:ascii="Georgia" w:hAnsi="Georgia"/>
          <w:sz w:val="24"/>
        </w:rPr>
      </w:pPr>
    </w:p>
    <w:p w:rsidR="00FE60A8" w:rsidRDefault="00FE60A8" w:rsidP="00FE60A8">
      <w:pPr>
        <w:pStyle w:val="ListParagraph"/>
        <w:ind w:left="0"/>
        <w:rPr>
          <w:rFonts w:ascii="Georgia" w:hAnsi="Georgia"/>
          <w:sz w:val="24"/>
        </w:rPr>
      </w:pPr>
    </w:p>
    <w:p w:rsidR="00FE60A8" w:rsidRPr="00FE60A8" w:rsidRDefault="00FE60A8" w:rsidP="00FE60A8">
      <w:pPr>
        <w:pStyle w:val="ListParagraph"/>
        <w:ind w:left="0"/>
        <w:rPr>
          <w:rFonts w:ascii="Georgia" w:hAnsi="Georgia"/>
          <w:b/>
          <w:color w:val="006600"/>
          <w:sz w:val="28"/>
        </w:rPr>
      </w:pPr>
    </w:p>
    <w:p w:rsidR="00EE2EFE" w:rsidRDefault="00EE2EFE" w:rsidP="00EE2EFE">
      <w:pPr>
        <w:rPr>
          <w:rFonts w:ascii="Georgia" w:hAnsi="Georgia"/>
          <w:b/>
          <w:color w:val="006600"/>
          <w:sz w:val="28"/>
        </w:rPr>
      </w:pPr>
    </w:p>
    <w:p w:rsidR="00EE2EFE" w:rsidRDefault="00EE2EFE" w:rsidP="00EE2EFE">
      <w:pPr>
        <w:rPr>
          <w:rFonts w:ascii="Georgia" w:hAnsi="Georgia"/>
          <w:b/>
          <w:color w:val="006600"/>
          <w:sz w:val="28"/>
        </w:rPr>
      </w:pPr>
    </w:p>
    <w:p w:rsidR="00EE2EFE" w:rsidRDefault="00EE2EFE" w:rsidP="00EE2EFE">
      <w:pPr>
        <w:pStyle w:val="ListParagraph"/>
        <w:ind w:left="0"/>
        <w:rPr>
          <w:rFonts w:ascii="Georgia" w:hAnsi="Georgia"/>
          <w:b/>
          <w:color w:val="006600"/>
          <w:sz w:val="28"/>
        </w:rPr>
      </w:pPr>
    </w:p>
    <w:p w:rsidR="00EE2EFE" w:rsidRDefault="00EE2EFE" w:rsidP="00EE2EFE">
      <w:pPr>
        <w:pStyle w:val="ListParagraph"/>
        <w:numPr>
          <w:ilvl w:val="0"/>
          <w:numId w:val="4"/>
        </w:numPr>
        <w:ind w:left="0"/>
        <w:rPr>
          <w:rFonts w:ascii="Georgia" w:hAnsi="Georgia"/>
          <w:b/>
          <w:color w:val="006600"/>
          <w:sz w:val="28"/>
        </w:rPr>
      </w:pPr>
      <w:r w:rsidRPr="00EE2EFE">
        <w:rPr>
          <w:rFonts w:ascii="Georgia" w:hAnsi="Georgia"/>
          <w:b/>
          <w:color w:val="006600"/>
          <w:sz w:val="28"/>
        </w:rPr>
        <w:t>POLICY OVERSIGHT:</w:t>
      </w:r>
    </w:p>
    <w:p w:rsidR="00785997" w:rsidRDefault="00FE60A8" w:rsidP="00223282">
      <w:pPr>
        <w:spacing w:line="276" w:lineRule="auto"/>
        <w:rPr>
          <w:rFonts w:ascii="Georgia" w:hAnsi="Georgia"/>
          <w:sz w:val="24"/>
        </w:rPr>
      </w:pPr>
      <w:r>
        <w:rPr>
          <w:rFonts w:ascii="Georgia" w:hAnsi="Georgia"/>
          <w:b/>
          <w:color w:val="006600"/>
          <w:sz w:val="28"/>
        </w:rPr>
        <w:t xml:space="preserve">     </w:t>
      </w:r>
      <w:r>
        <w:rPr>
          <w:rFonts w:ascii="Georgia" w:hAnsi="Georgia"/>
          <w:sz w:val="24"/>
        </w:rPr>
        <w:t>The oversight of and the authorizing signatory whom attests to the fact that Springer Health Care Systems abides by and remains compliant with all federal guidelines with regar</w:t>
      </w:r>
      <w:r w:rsidR="00223282">
        <w:rPr>
          <w:rFonts w:ascii="Georgia" w:hAnsi="Georgia"/>
          <w:sz w:val="24"/>
        </w:rPr>
        <w:t xml:space="preserve">d to </w:t>
      </w:r>
      <w:r w:rsidR="004C1300">
        <w:rPr>
          <w:rFonts w:ascii="Georgia" w:hAnsi="Georgia"/>
          <w:sz w:val="24"/>
        </w:rPr>
        <w:t>PII and PHI</w:t>
      </w:r>
      <w:r w:rsidR="00223282">
        <w:rPr>
          <w:rFonts w:ascii="Georgia" w:hAnsi="Georgia"/>
          <w:sz w:val="24"/>
        </w:rPr>
        <w:t xml:space="preserve"> and its destruction rests with Sp</w:t>
      </w:r>
      <w:r w:rsidR="006358B2">
        <w:rPr>
          <w:rFonts w:ascii="Georgia" w:hAnsi="Georgia"/>
          <w:sz w:val="24"/>
        </w:rPr>
        <w:t>renger CIO, Randy Halberson.  PII/PH</w:t>
      </w:r>
      <w:r w:rsidR="00223282">
        <w:rPr>
          <w:rFonts w:ascii="Georgia" w:hAnsi="Georgia"/>
          <w:sz w:val="24"/>
        </w:rPr>
        <w:t xml:space="preserve">I is regulated by HIPAA with additional guidance and best practices </w:t>
      </w:r>
      <w:r w:rsidR="006358B2">
        <w:rPr>
          <w:rFonts w:ascii="Georgia" w:hAnsi="Georgia"/>
          <w:sz w:val="24"/>
        </w:rPr>
        <w:t xml:space="preserve">denoted by HITRUST and HITECH. </w:t>
      </w:r>
      <w:r w:rsidR="00223282">
        <w:rPr>
          <w:rFonts w:ascii="Georgia" w:hAnsi="Georgia"/>
          <w:sz w:val="24"/>
        </w:rPr>
        <w:t>Sprenger’s policy has been crafted specifically with these regulations and guidance in mind to provide assurance to stakeholders of the proper handling of all covered data.  The policy is directly enforced by:</w:t>
      </w:r>
    </w:p>
    <w:p w:rsidR="00223282" w:rsidRDefault="00223282" w:rsidP="00223282">
      <w:pPr>
        <w:pStyle w:val="ListParagraph"/>
        <w:spacing w:line="276" w:lineRule="auto"/>
        <w:ind w:left="0"/>
        <w:rPr>
          <w:rFonts w:ascii="Georgia" w:hAnsi="Georgia"/>
          <w:sz w:val="24"/>
        </w:rPr>
      </w:pPr>
      <w:r>
        <w:rPr>
          <w:rFonts w:ascii="Georgia" w:hAnsi="Georgia"/>
          <w:sz w:val="24"/>
        </w:rPr>
        <w:tab/>
        <w:t>Randy Halberson, CIO</w:t>
      </w:r>
      <w:r w:rsidR="006358B2">
        <w:rPr>
          <w:rFonts w:ascii="Georgia" w:hAnsi="Georgia"/>
          <w:sz w:val="24"/>
        </w:rPr>
        <w:t xml:space="preserve"> of Sprenger Hospital </w:t>
      </w:r>
    </w:p>
    <w:p w:rsidR="00223282" w:rsidRDefault="00223282" w:rsidP="00223282">
      <w:pPr>
        <w:pStyle w:val="ListParagraph"/>
        <w:spacing w:line="276" w:lineRule="auto"/>
        <w:ind w:left="0"/>
        <w:rPr>
          <w:rFonts w:ascii="Georgia" w:hAnsi="Georgia"/>
          <w:sz w:val="24"/>
        </w:rPr>
      </w:pPr>
      <w:r>
        <w:rPr>
          <w:rFonts w:ascii="Georgia" w:hAnsi="Georgia"/>
          <w:sz w:val="24"/>
        </w:rPr>
        <w:tab/>
        <w:t>243 Hospital Way</w:t>
      </w:r>
    </w:p>
    <w:p w:rsidR="00223282" w:rsidRDefault="00223282" w:rsidP="00223282">
      <w:pPr>
        <w:pStyle w:val="ListParagraph"/>
        <w:spacing w:line="276" w:lineRule="auto"/>
        <w:ind w:left="0"/>
        <w:rPr>
          <w:rFonts w:ascii="Georgia" w:hAnsi="Georgia"/>
          <w:sz w:val="24"/>
        </w:rPr>
      </w:pPr>
      <w:r>
        <w:rPr>
          <w:rFonts w:ascii="Georgia" w:hAnsi="Georgia"/>
          <w:sz w:val="24"/>
        </w:rPr>
        <w:tab/>
        <w:t>Dallas, PA. 18969</w:t>
      </w:r>
    </w:p>
    <w:p w:rsidR="00223282" w:rsidRDefault="00223282" w:rsidP="00223282">
      <w:pPr>
        <w:pStyle w:val="ListParagraph"/>
        <w:spacing w:line="276" w:lineRule="auto"/>
        <w:ind w:left="0"/>
        <w:rPr>
          <w:rFonts w:ascii="Georgia" w:hAnsi="Georgia"/>
          <w:sz w:val="24"/>
        </w:rPr>
      </w:pPr>
      <w:r>
        <w:rPr>
          <w:rFonts w:ascii="Georgia" w:hAnsi="Georgia"/>
          <w:sz w:val="24"/>
        </w:rPr>
        <w:tab/>
        <w:t>263-952-4558</w:t>
      </w:r>
    </w:p>
    <w:p w:rsidR="00223282" w:rsidRDefault="00223282" w:rsidP="00223282">
      <w:pPr>
        <w:pStyle w:val="ListParagraph"/>
        <w:spacing w:line="276" w:lineRule="auto"/>
        <w:ind w:left="0"/>
        <w:rPr>
          <w:rFonts w:ascii="Georgia" w:hAnsi="Georgia"/>
          <w:sz w:val="24"/>
        </w:rPr>
      </w:pPr>
      <w:r>
        <w:rPr>
          <w:rFonts w:ascii="Georgia" w:hAnsi="Georgia"/>
          <w:sz w:val="24"/>
        </w:rPr>
        <w:tab/>
      </w:r>
      <w:hyperlink r:id="rId10" w:history="1">
        <w:r w:rsidRPr="00E345C4">
          <w:rPr>
            <w:rStyle w:val="Hyperlink"/>
            <w:rFonts w:ascii="Georgia" w:hAnsi="Georgia"/>
            <w:sz w:val="24"/>
          </w:rPr>
          <w:t>Randy.Halberson@SPHospital.org</w:t>
        </w:r>
      </w:hyperlink>
    </w:p>
    <w:p w:rsidR="00223282" w:rsidRDefault="00223282" w:rsidP="00223282">
      <w:pPr>
        <w:pStyle w:val="ListParagraph"/>
        <w:spacing w:line="276" w:lineRule="auto"/>
        <w:ind w:left="0"/>
        <w:rPr>
          <w:rFonts w:ascii="Georgia" w:hAnsi="Georgia"/>
          <w:sz w:val="24"/>
        </w:rPr>
      </w:pPr>
    </w:p>
    <w:p w:rsidR="00223282" w:rsidRDefault="00223282" w:rsidP="00223282">
      <w:pPr>
        <w:pStyle w:val="ListParagraph"/>
        <w:spacing w:line="276" w:lineRule="auto"/>
        <w:ind w:left="0"/>
        <w:rPr>
          <w:rFonts w:ascii="Georgia" w:hAnsi="Georgia"/>
          <w:sz w:val="24"/>
        </w:rPr>
      </w:pPr>
      <w:r>
        <w:rPr>
          <w:rFonts w:ascii="Georgia" w:hAnsi="Georgia"/>
          <w:sz w:val="24"/>
        </w:rPr>
        <w:t xml:space="preserve">     If Sprenger fails to comply with statutory requirements, it may be subject to fines, legal fees and lawsuits.  Employees who violate this policy may be prohibited from the handling of any protected information, suspended, terminated from the company and/or having their licensure to perform services in a clinical environment revoked.</w:t>
      </w:r>
    </w:p>
    <w:p w:rsidR="00223282" w:rsidRDefault="00223282" w:rsidP="00223282">
      <w:pPr>
        <w:pStyle w:val="ListParagraph"/>
        <w:spacing w:line="276" w:lineRule="auto"/>
        <w:ind w:left="0"/>
        <w:rPr>
          <w:rFonts w:ascii="Georgia" w:hAnsi="Georgia"/>
          <w:sz w:val="24"/>
        </w:rPr>
      </w:pPr>
    </w:p>
    <w:p w:rsidR="00785997" w:rsidRDefault="00223282" w:rsidP="00223282">
      <w:pPr>
        <w:pStyle w:val="ListParagraph"/>
        <w:spacing w:line="276" w:lineRule="auto"/>
        <w:ind w:left="0"/>
        <w:rPr>
          <w:rFonts w:ascii="Georgia" w:hAnsi="Georgia"/>
          <w:b/>
          <w:color w:val="006600"/>
          <w:sz w:val="28"/>
        </w:rPr>
      </w:pPr>
      <w:r>
        <w:rPr>
          <w:rFonts w:ascii="Georgia" w:hAnsi="Georgia"/>
          <w:sz w:val="24"/>
        </w:rPr>
        <w:t xml:space="preserve">     In any situation where the policy overseer fails to enforce the policy, he/she will be promptly relieved of his/her responsibilities as oversight and face suspension or termination from the company.</w:t>
      </w:r>
    </w:p>
    <w:p w:rsidR="00785997" w:rsidRDefault="00785997" w:rsidP="00785997">
      <w:pPr>
        <w:rPr>
          <w:rFonts w:ascii="Georgia" w:hAnsi="Georgia"/>
          <w:b/>
          <w:color w:val="006600"/>
          <w:sz w:val="28"/>
        </w:rPr>
      </w:pPr>
    </w:p>
    <w:p w:rsidR="00785997" w:rsidRDefault="00785997" w:rsidP="00785997">
      <w:pPr>
        <w:rPr>
          <w:rFonts w:ascii="Georgia" w:hAnsi="Georgia"/>
          <w:b/>
          <w:color w:val="006600"/>
          <w:sz w:val="28"/>
        </w:rPr>
      </w:pPr>
    </w:p>
    <w:p w:rsidR="00785997" w:rsidRDefault="00785997" w:rsidP="00785997">
      <w:pPr>
        <w:rPr>
          <w:rFonts w:ascii="Georgia" w:hAnsi="Georgia"/>
          <w:b/>
          <w:color w:val="006600"/>
          <w:sz w:val="28"/>
        </w:rPr>
      </w:pPr>
    </w:p>
    <w:p w:rsidR="00785997" w:rsidRDefault="00785997" w:rsidP="00785997">
      <w:pPr>
        <w:rPr>
          <w:rFonts w:ascii="Georgia" w:hAnsi="Georgia"/>
          <w:b/>
          <w:color w:val="006600"/>
          <w:sz w:val="28"/>
        </w:rPr>
      </w:pPr>
    </w:p>
    <w:p w:rsidR="00785997" w:rsidRDefault="00785997" w:rsidP="00785997">
      <w:pPr>
        <w:rPr>
          <w:rFonts w:ascii="Georgia" w:hAnsi="Georgia"/>
          <w:b/>
          <w:color w:val="006600"/>
          <w:sz w:val="28"/>
        </w:rPr>
      </w:pPr>
    </w:p>
    <w:p w:rsidR="00785997" w:rsidRDefault="00785997" w:rsidP="00785997">
      <w:pPr>
        <w:pStyle w:val="ListParagraph"/>
        <w:ind w:left="0"/>
        <w:rPr>
          <w:rFonts w:ascii="Georgia" w:hAnsi="Georgia"/>
          <w:b/>
          <w:color w:val="006600"/>
          <w:sz w:val="28"/>
        </w:rPr>
      </w:pPr>
    </w:p>
    <w:p w:rsidR="00785997" w:rsidRDefault="00785997" w:rsidP="00785997">
      <w:pPr>
        <w:pStyle w:val="ListParagraph"/>
        <w:numPr>
          <w:ilvl w:val="0"/>
          <w:numId w:val="4"/>
        </w:numPr>
        <w:ind w:left="0"/>
        <w:rPr>
          <w:rFonts w:ascii="Georgia" w:hAnsi="Georgia"/>
          <w:b/>
          <w:color w:val="006600"/>
          <w:sz w:val="28"/>
        </w:rPr>
      </w:pPr>
      <w:r w:rsidRPr="00785997">
        <w:rPr>
          <w:rFonts w:ascii="Georgia" w:hAnsi="Georgia"/>
          <w:b/>
          <w:color w:val="006600"/>
          <w:sz w:val="28"/>
        </w:rPr>
        <w:t>OUTSIDE VENDOR STATEMENT OF WORK:</w:t>
      </w:r>
    </w:p>
    <w:p w:rsidR="00315DA8" w:rsidRDefault="00223282" w:rsidP="00315DA8">
      <w:pPr>
        <w:rPr>
          <w:rFonts w:ascii="Georgia" w:hAnsi="Georgia"/>
          <w:sz w:val="24"/>
        </w:rPr>
      </w:pPr>
      <w:r>
        <w:rPr>
          <w:rFonts w:ascii="Georgia" w:hAnsi="Georgia"/>
          <w:b/>
          <w:color w:val="006600"/>
          <w:sz w:val="28"/>
        </w:rPr>
        <w:t xml:space="preserve">     </w:t>
      </w:r>
      <w:r>
        <w:rPr>
          <w:rFonts w:ascii="Georgia" w:hAnsi="Georgia"/>
          <w:sz w:val="24"/>
        </w:rPr>
        <w:t>All outside or third-party vendors used by Sprenger in the handling and destruction of PHI must meet the following guidelines:</w:t>
      </w:r>
    </w:p>
    <w:p w:rsidR="00223282" w:rsidRDefault="00223282" w:rsidP="00223282">
      <w:pPr>
        <w:pStyle w:val="ListParagraph"/>
        <w:numPr>
          <w:ilvl w:val="0"/>
          <w:numId w:val="15"/>
        </w:numPr>
        <w:rPr>
          <w:rFonts w:ascii="Georgia" w:hAnsi="Georgia"/>
          <w:sz w:val="24"/>
        </w:rPr>
      </w:pPr>
      <w:r>
        <w:rPr>
          <w:rFonts w:ascii="Georgia" w:hAnsi="Georgia"/>
          <w:sz w:val="24"/>
        </w:rPr>
        <w:t>Must have a signed statement</w:t>
      </w:r>
      <w:r w:rsidR="00F56A0C">
        <w:rPr>
          <w:rFonts w:ascii="Georgia" w:hAnsi="Georgia"/>
          <w:sz w:val="24"/>
        </w:rPr>
        <w:t xml:space="preserve"> of work prior to performing any</w:t>
      </w:r>
      <w:r>
        <w:rPr>
          <w:rFonts w:ascii="Georgia" w:hAnsi="Georgia"/>
          <w:sz w:val="24"/>
        </w:rPr>
        <w:t xml:space="preserve"> and all services.</w:t>
      </w:r>
    </w:p>
    <w:p w:rsidR="00223282" w:rsidRDefault="00223282" w:rsidP="00223282">
      <w:pPr>
        <w:pStyle w:val="ListParagraph"/>
        <w:numPr>
          <w:ilvl w:val="0"/>
          <w:numId w:val="15"/>
        </w:numPr>
        <w:rPr>
          <w:rFonts w:ascii="Georgia" w:hAnsi="Georgia"/>
          <w:sz w:val="24"/>
        </w:rPr>
      </w:pPr>
      <w:r>
        <w:rPr>
          <w:rFonts w:ascii="Georgia" w:hAnsi="Georgia"/>
          <w:sz w:val="24"/>
        </w:rPr>
        <w:t xml:space="preserve">In addition to a statement of work, the vendor must have a </w:t>
      </w:r>
      <w:r w:rsidR="00D81547">
        <w:rPr>
          <w:rFonts w:ascii="Georgia" w:hAnsi="Georgia"/>
          <w:sz w:val="24"/>
        </w:rPr>
        <w:t>signed</w:t>
      </w:r>
      <w:r w:rsidR="00F56A0C">
        <w:rPr>
          <w:rFonts w:ascii="Georgia" w:hAnsi="Georgia"/>
          <w:sz w:val="24"/>
        </w:rPr>
        <w:t xml:space="preserve"> business associate contract;</w:t>
      </w:r>
      <w:r>
        <w:rPr>
          <w:rFonts w:ascii="Georgia" w:hAnsi="Georgia"/>
          <w:sz w:val="24"/>
        </w:rPr>
        <w:t xml:space="preserve"> such contract must include the following sub-sections:</w:t>
      </w:r>
    </w:p>
    <w:p w:rsidR="00223282" w:rsidRDefault="00223282" w:rsidP="00223282">
      <w:pPr>
        <w:pStyle w:val="ListParagraph"/>
        <w:numPr>
          <w:ilvl w:val="1"/>
          <w:numId w:val="15"/>
        </w:numPr>
        <w:rPr>
          <w:rFonts w:ascii="Georgia" w:hAnsi="Georgia"/>
          <w:sz w:val="24"/>
        </w:rPr>
      </w:pPr>
      <w:r>
        <w:rPr>
          <w:rFonts w:ascii="Georgia" w:hAnsi="Georgia"/>
          <w:sz w:val="24"/>
        </w:rPr>
        <w:t>Introduction defining a business associate</w:t>
      </w:r>
    </w:p>
    <w:p w:rsidR="00223282" w:rsidRDefault="00223282" w:rsidP="00223282">
      <w:pPr>
        <w:pStyle w:val="ListParagraph"/>
        <w:numPr>
          <w:ilvl w:val="1"/>
          <w:numId w:val="15"/>
        </w:numPr>
        <w:rPr>
          <w:rFonts w:ascii="Georgia" w:hAnsi="Georgia"/>
          <w:sz w:val="24"/>
        </w:rPr>
      </w:pPr>
      <w:r>
        <w:rPr>
          <w:rFonts w:ascii="Georgia" w:hAnsi="Georgia"/>
          <w:sz w:val="24"/>
        </w:rPr>
        <w:t>Clearly articulated definition of a covered entity and the HIPAA rules</w:t>
      </w:r>
    </w:p>
    <w:p w:rsidR="00223282" w:rsidRDefault="00223282" w:rsidP="00223282">
      <w:pPr>
        <w:pStyle w:val="ListParagraph"/>
        <w:numPr>
          <w:ilvl w:val="1"/>
          <w:numId w:val="15"/>
        </w:numPr>
        <w:rPr>
          <w:rFonts w:ascii="Georgia" w:hAnsi="Georgia"/>
          <w:sz w:val="24"/>
        </w:rPr>
      </w:pPr>
      <w:r>
        <w:rPr>
          <w:rFonts w:ascii="Georgia" w:hAnsi="Georgia"/>
          <w:sz w:val="24"/>
        </w:rPr>
        <w:t>Obligations and activities of the business associate</w:t>
      </w:r>
    </w:p>
    <w:p w:rsidR="00223282" w:rsidRDefault="00223282" w:rsidP="00223282">
      <w:pPr>
        <w:pStyle w:val="ListParagraph"/>
        <w:numPr>
          <w:ilvl w:val="1"/>
          <w:numId w:val="15"/>
        </w:numPr>
        <w:rPr>
          <w:rFonts w:ascii="Georgia" w:hAnsi="Georgia"/>
          <w:sz w:val="24"/>
        </w:rPr>
      </w:pPr>
      <w:r>
        <w:rPr>
          <w:rFonts w:ascii="Georgia" w:hAnsi="Georgia"/>
          <w:sz w:val="24"/>
        </w:rPr>
        <w:t>Permitted users and disclosures of the business associate</w:t>
      </w:r>
    </w:p>
    <w:p w:rsidR="00223282" w:rsidRDefault="00223282" w:rsidP="00223282">
      <w:pPr>
        <w:pStyle w:val="ListParagraph"/>
        <w:numPr>
          <w:ilvl w:val="1"/>
          <w:numId w:val="15"/>
        </w:numPr>
        <w:rPr>
          <w:rFonts w:ascii="Georgia" w:hAnsi="Georgia"/>
          <w:sz w:val="24"/>
        </w:rPr>
      </w:pPr>
      <w:r>
        <w:rPr>
          <w:rFonts w:ascii="Georgia" w:hAnsi="Georgia"/>
          <w:sz w:val="24"/>
        </w:rPr>
        <w:t>Provisions for covered entity to inform business associate of privacy practices and restrictions</w:t>
      </w:r>
    </w:p>
    <w:p w:rsidR="00223282" w:rsidRDefault="00223282" w:rsidP="00223282">
      <w:pPr>
        <w:pStyle w:val="ListParagraph"/>
        <w:numPr>
          <w:ilvl w:val="1"/>
          <w:numId w:val="15"/>
        </w:numPr>
        <w:rPr>
          <w:rFonts w:ascii="Georgia" w:hAnsi="Georgia"/>
          <w:sz w:val="24"/>
        </w:rPr>
      </w:pPr>
      <w:r>
        <w:rPr>
          <w:rFonts w:ascii="Georgia" w:hAnsi="Georgia"/>
          <w:sz w:val="24"/>
        </w:rPr>
        <w:t>Permissible requests by covered entity</w:t>
      </w:r>
    </w:p>
    <w:p w:rsidR="00223282" w:rsidRDefault="00223282" w:rsidP="00223282">
      <w:pPr>
        <w:pStyle w:val="ListParagraph"/>
        <w:numPr>
          <w:ilvl w:val="1"/>
          <w:numId w:val="15"/>
        </w:numPr>
        <w:rPr>
          <w:rFonts w:ascii="Georgia" w:hAnsi="Georgia"/>
          <w:sz w:val="24"/>
        </w:rPr>
      </w:pPr>
      <w:r>
        <w:rPr>
          <w:rFonts w:ascii="Georgia" w:hAnsi="Georgia"/>
          <w:sz w:val="24"/>
        </w:rPr>
        <w:t>Term and Termination Language</w:t>
      </w:r>
    </w:p>
    <w:p w:rsidR="00223282" w:rsidRDefault="00223282" w:rsidP="00223282">
      <w:pPr>
        <w:pStyle w:val="ListParagraph"/>
        <w:numPr>
          <w:ilvl w:val="1"/>
          <w:numId w:val="15"/>
        </w:numPr>
        <w:rPr>
          <w:rFonts w:ascii="Georgia" w:hAnsi="Georgia"/>
          <w:sz w:val="24"/>
        </w:rPr>
      </w:pPr>
      <w:r>
        <w:rPr>
          <w:rFonts w:ascii="Georgia" w:hAnsi="Georgia"/>
          <w:sz w:val="24"/>
        </w:rPr>
        <w:t>An optional miscellaneous section providing option guidance on regulatory references, amendments and interpretations</w:t>
      </w:r>
    </w:p>
    <w:p w:rsidR="00CB6A94" w:rsidRDefault="00CB6A94" w:rsidP="00CB6A94">
      <w:pPr>
        <w:rPr>
          <w:rFonts w:ascii="Georgia" w:hAnsi="Georgia"/>
          <w:sz w:val="24"/>
        </w:rPr>
      </w:pPr>
      <w:r>
        <w:rPr>
          <w:rFonts w:ascii="Georgia" w:hAnsi="Georgia"/>
          <w:sz w:val="24"/>
        </w:rPr>
        <w:t xml:space="preserve">For further information please refer to HIPAA Guidance: </w:t>
      </w:r>
      <w:r>
        <w:rPr>
          <w:rFonts w:ascii="Georgia" w:hAnsi="Georgia"/>
          <w:i/>
          <w:sz w:val="24"/>
        </w:rPr>
        <w:t>45 CFR 164.502(e); 164.504(e); 164.532(d) and (e).</w:t>
      </w:r>
      <w:r>
        <w:rPr>
          <w:rFonts w:ascii="Georgia" w:hAnsi="Georgia"/>
          <w:sz w:val="24"/>
        </w:rPr>
        <w:t xml:space="preserve">  </w:t>
      </w:r>
    </w:p>
    <w:p w:rsidR="00CB6A94" w:rsidRPr="00CB6A94" w:rsidRDefault="00CB6A94" w:rsidP="00CB6A94">
      <w:pPr>
        <w:rPr>
          <w:rFonts w:ascii="Georgia" w:hAnsi="Georgia"/>
          <w:sz w:val="24"/>
        </w:rPr>
      </w:pPr>
      <w:r>
        <w:rPr>
          <w:rFonts w:ascii="Georgia" w:hAnsi="Georgia"/>
          <w:sz w:val="24"/>
        </w:rPr>
        <w:t>Additionally, please call our legal and compliance office at (x21607).</w:t>
      </w:r>
    </w:p>
    <w:p w:rsidR="00315DA8" w:rsidRDefault="00315DA8" w:rsidP="00315DA8">
      <w:pPr>
        <w:rPr>
          <w:rFonts w:ascii="Georgia" w:hAnsi="Georgia"/>
          <w:b/>
          <w:color w:val="006600"/>
          <w:sz w:val="28"/>
        </w:rPr>
      </w:pPr>
    </w:p>
    <w:p w:rsidR="00315DA8" w:rsidRDefault="00315DA8" w:rsidP="00315DA8">
      <w:pPr>
        <w:rPr>
          <w:rFonts w:ascii="Georgia" w:hAnsi="Georgia"/>
          <w:b/>
          <w:color w:val="006600"/>
          <w:sz w:val="28"/>
        </w:rPr>
      </w:pPr>
    </w:p>
    <w:p w:rsidR="00315DA8" w:rsidRDefault="00315DA8" w:rsidP="00315DA8">
      <w:pPr>
        <w:rPr>
          <w:rFonts w:ascii="Georgia" w:hAnsi="Georgia"/>
          <w:b/>
          <w:color w:val="006600"/>
          <w:sz w:val="28"/>
        </w:rPr>
      </w:pPr>
    </w:p>
    <w:p w:rsidR="00315DA8" w:rsidRDefault="00315DA8" w:rsidP="00315DA8">
      <w:pPr>
        <w:rPr>
          <w:rFonts w:ascii="Georgia" w:hAnsi="Georgia"/>
          <w:b/>
          <w:color w:val="006600"/>
          <w:sz w:val="28"/>
        </w:rPr>
      </w:pPr>
    </w:p>
    <w:p w:rsidR="00315DA8" w:rsidRDefault="00315DA8" w:rsidP="00315DA8">
      <w:pPr>
        <w:rPr>
          <w:rFonts w:ascii="Georgia" w:hAnsi="Georgia"/>
          <w:b/>
          <w:color w:val="006600"/>
          <w:sz w:val="28"/>
        </w:rPr>
      </w:pPr>
    </w:p>
    <w:p w:rsidR="00315DA8" w:rsidRDefault="00315DA8" w:rsidP="00315DA8">
      <w:pPr>
        <w:rPr>
          <w:rFonts w:ascii="Georgia" w:hAnsi="Georgia"/>
          <w:b/>
          <w:color w:val="006600"/>
          <w:sz w:val="28"/>
        </w:rPr>
      </w:pPr>
    </w:p>
    <w:p w:rsidR="00315DA8" w:rsidRDefault="00315DA8" w:rsidP="00315DA8">
      <w:pPr>
        <w:rPr>
          <w:rFonts w:ascii="Georgia" w:hAnsi="Georgia"/>
          <w:b/>
          <w:color w:val="006600"/>
          <w:sz w:val="28"/>
        </w:rPr>
      </w:pPr>
    </w:p>
    <w:p w:rsidR="00315DA8" w:rsidRDefault="00315DA8" w:rsidP="00315DA8">
      <w:pPr>
        <w:jc w:val="center"/>
        <w:rPr>
          <w:rFonts w:ascii="Georgia" w:hAnsi="Georgia"/>
          <w:b/>
          <w:color w:val="006600"/>
          <w:sz w:val="28"/>
        </w:rPr>
      </w:pPr>
      <w:r>
        <w:rPr>
          <w:rFonts w:ascii="Georgia" w:hAnsi="Georgia"/>
          <w:b/>
          <w:color w:val="006600"/>
          <w:sz w:val="28"/>
        </w:rPr>
        <w:lastRenderedPageBreak/>
        <w:t>ANNUAL POLICY REVIEW AND REVISION LOG</w:t>
      </w:r>
    </w:p>
    <w:p w:rsidR="00204070" w:rsidRDefault="00FA6E25" w:rsidP="00F56A0C">
      <w:pPr>
        <w:jc w:val="center"/>
        <w:rPr>
          <w:rFonts w:ascii="Georgia" w:hAnsi="Georgia"/>
          <w:b/>
          <w:color w:val="006600"/>
          <w:sz w:val="28"/>
        </w:rPr>
      </w:pPr>
      <w:r>
        <w:rPr>
          <w:noProof/>
        </w:rPr>
        <w:drawing>
          <wp:inline distT="0" distB="0" distL="0" distR="0" wp14:anchorId="01E9189F" wp14:editId="66623160">
            <wp:extent cx="5657850" cy="641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7850" cy="6419850"/>
                    </a:xfrm>
                    <a:prstGeom prst="rect">
                      <a:avLst/>
                    </a:prstGeom>
                  </pic:spPr>
                </pic:pic>
              </a:graphicData>
            </a:graphic>
          </wp:inline>
        </w:drawing>
      </w:r>
    </w:p>
    <w:p w:rsidR="00204070" w:rsidRPr="00CB6A94" w:rsidRDefault="00204070" w:rsidP="00204070">
      <w:pPr>
        <w:pStyle w:val="ListParagraph"/>
        <w:numPr>
          <w:ilvl w:val="0"/>
          <w:numId w:val="4"/>
        </w:numPr>
        <w:ind w:left="0"/>
        <w:rPr>
          <w:rFonts w:ascii="Georgia" w:hAnsi="Georgia"/>
          <w:b/>
          <w:color w:val="006600"/>
          <w:sz w:val="28"/>
        </w:rPr>
      </w:pPr>
      <w:r>
        <w:rPr>
          <w:rFonts w:ascii="Georgia" w:hAnsi="Georgia"/>
          <w:b/>
          <w:color w:val="006600"/>
          <w:sz w:val="28"/>
        </w:rPr>
        <w:lastRenderedPageBreak/>
        <w:t>EXTERNAL RESOURCES:</w:t>
      </w:r>
    </w:p>
    <w:p w:rsidR="00DF5967" w:rsidRDefault="00DF5967" w:rsidP="00CB6A94">
      <w:pPr>
        <w:rPr>
          <w:rFonts w:ascii="Georgia" w:hAnsi="Georgia"/>
          <w:sz w:val="24"/>
        </w:rPr>
      </w:pPr>
      <w:r>
        <w:rPr>
          <w:rFonts w:ascii="Georgia" w:hAnsi="Georgia"/>
          <w:sz w:val="24"/>
        </w:rPr>
        <w:t xml:space="preserve">To learn more about HIPAA and other federal laws guiding this policy, please refer to the resources listed in Table B: </w:t>
      </w:r>
      <w:r>
        <w:rPr>
          <w:rFonts w:ascii="Georgia" w:hAnsi="Georgia"/>
          <w:i/>
          <w:sz w:val="24"/>
        </w:rPr>
        <w:t>Guidance Documents for Data Destruction Policy.</w:t>
      </w:r>
    </w:p>
    <w:p w:rsidR="00DF5967" w:rsidRPr="00DF5967" w:rsidRDefault="00DF5967" w:rsidP="00DF5967">
      <w:pPr>
        <w:jc w:val="center"/>
        <w:rPr>
          <w:rFonts w:ascii="Georgia" w:hAnsi="Georgia"/>
          <w:b/>
          <w:color w:val="006600"/>
        </w:rPr>
      </w:pPr>
      <w:r w:rsidRPr="00DF5967">
        <w:rPr>
          <w:rFonts w:ascii="Georgia" w:hAnsi="Georgia"/>
          <w:b/>
          <w:color w:val="006600"/>
        </w:rPr>
        <w:t>TABLE B:  GUIDANCE DOCUMENTS FOR DATA DESTRUCTION POLICY</w:t>
      </w:r>
    </w:p>
    <w:tbl>
      <w:tblPr>
        <w:tblW w:w="10530" w:type="dxa"/>
        <w:tblInd w:w="-548" w:type="dxa"/>
        <w:tblLayout w:type="fixed"/>
        <w:tblCellMar>
          <w:top w:w="15" w:type="dxa"/>
          <w:left w:w="15" w:type="dxa"/>
          <w:bottom w:w="15" w:type="dxa"/>
          <w:right w:w="15" w:type="dxa"/>
        </w:tblCellMar>
        <w:tblLook w:val="04A0" w:firstRow="1" w:lastRow="0" w:firstColumn="1" w:lastColumn="0" w:noHBand="0" w:noVBand="1"/>
      </w:tblPr>
      <w:tblGrid>
        <w:gridCol w:w="2250"/>
        <w:gridCol w:w="2970"/>
        <w:gridCol w:w="5310"/>
      </w:tblGrid>
      <w:tr w:rsidR="00DF5967" w:rsidTr="00DF5967">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5967" w:rsidRDefault="00DF5967">
            <w:pPr>
              <w:pStyle w:val="NormalWeb"/>
              <w:spacing w:before="0" w:beforeAutospacing="0" w:after="0" w:afterAutospacing="0"/>
              <w:jc w:val="center"/>
            </w:pPr>
            <w:r>
              <w:rPr>
                <w:rFonts w:ascii="Georgia" w:hAnsi="Georgia"/>
                <w:b/>
                <w:bCs/>
                <w:color w:val="000000"/>
                <w:sz w:val="22"/>
                <w:szCs w:val="22"/>
              </w:rPr>
              <w:t>Source</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5967" w:rsidRDefault="00DF5967">
            <w:pPr>
              <w:pStyle w:val="NormalWeb"/>
              <w:spacing w:before="0" w:beforeAutospacing="0" w:after="0" w:afterAutospacing="0"/>
              <w:jc w:val="center"/>
            </w:pPr>
            <w:r>
              <w:rPr>
                <w:rFonts w:ascii="Georgia" w:hAnsi="Georgia"/>
                <w:b/>
                <w:bCs/>
                <w:color w:val="000000"/>
                <w:sz w:val="22"/>
                <w:szCs w:val="22"/>
              </w:rPr>
              <w:t xml:space="preserve">Resource </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5967" w:rsidRDefault="00DF5967">
            <w:pPr>
              <w:pStyle w:val="NormalWeb"/>
              <w:spacing w:before="0" w:beforeAutospacing="0" w:after="0" w:afterAutospacing="0"/>
              <w:jc w:val="center"/>
            </w:pPr>
            <w:r>
              <w:rPr>
                <w:rFonts w:ascii="Georgia" w:hAnsi="Georgia"/>
                <w:b/>
                <w:bCs/>
                <w:color w:val="000000"/>
                <w:sz w:val="22"/>
                <w:szCs w:val="22"/>
              </w:rPr>
              <w:t>Link</w:t>
            </w:r>
          </w:p>
        </w:tc>
      </w:tr>
      <w:tr w:rsidR="00DF5967" w:rsidTr="00F56A0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DF5967" w:rsidP="00F56A0C">
            <w:pPr>
              <w:pStyle w:val="NormalWeb"/>
              <w:spacing w:before="0" w:beforeAutospacing="0" w:after="0" w:afterAutospacing="0"/>
            </w:pPr>
            <w:r>
              <w:rPr>
                <w:rFonts w:ascii="Georgia" w:hAnsi="Georgia"/>
                <w:color w:val="000000"/>
                <w:sz w:val="22"/>
                <w:szCs w:val="22"/>
              </w:rPr>
              <w:t>Federal Government</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DF5967" w:rsidP="00F56A0C">
            <w:pPr>
              <w:pStyle w:val="NormalWeb"/>
              <w:spacing w:before="0" w:beforeAutospacing="0" w:after="0" w:afterAutospacing="0"/>
            </w:pPr>
            <w:r>
              <w:rPr>
                <w:rFonts w:ascii="Georgia" w:hAnsi="Georgia"/>
                <w:color w:val="000000"/>
                <w:sz w:val="22"/>
                <w:szCs w:val="22"/>
              </w:rPr>
              <w:t>HIPAA Policy</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446287" w:rsidP="00F56A0C">
            <w:pPr>
              <w:pStyle w:val="NormalWeb"/>
              <w:spacing w:before="0" w:beforeAutospacing="0" w:after="0" w:afterAutospacing="0"/>
            </w:pPr>
            <w:hyperlink r:id="rId12" w:history="1">
              <w:r w:rsidR="00DF5967">
                <w:rPr>
                  <w:rStyle w:val="Hyperlink"/>
                  <w:rFonts w:ascii="Georgia" w:hAnsi="Georgia"/>
                  <w:color w:val="1155CC"/>
                  <w:sz w:val="22"/>
                  <w:szCs w:val="22"/>
                </w:rPr>
                <w:t>http://www.ecfr.gov/cgi-bin/text-idx?tpl=/ecfrbrowse/Title45/45cfr164_main_02.tpl</w:t>
              </w:r>
            </w:hyperlink>
          </w:p>
        </w:tc>
      </w:tr>
      <w:tr w:rsidR="00DF5967" w:rsidTr="00F56A0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DF5967" w:rsidP="00F56A0C">
            <w:pPr>
              <w:pStyle w:val="NormalWeb"/>
              <w:spacing w:before="0" w:beforeAutospacing="0" w:after="0" w:afterAutospacing="0"/>
            </w:pPr>
            <w:r>
              <w:rPr>
                <w:rFonts w:ascii="Georgia" w:hAnsi="Georgia"/>
                <w:color w:val="000000"/>
                <w:sz w:val="22"/>
                <w:szCs w:val="22"/>
              </w:rPr>
              <w:t>HHS</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DF5967" w:rsidP="00F56A0C">
            <w:pPr>
              <w:pStyle w:val="NormalWeb"/>
              <w:spacing w:before="0" w:beforeAutospacing="0" w:after="0" w:afterAutospacing="0"/>
            </w:pPr>
            <w:r>
              <w:rPr>
                <w:rFonts w:ascii="Georgia" w:hAnsi="Georgia"/>
                <w:color w:val="000000"/>
                <w:sz w:val="22"/>
                <w:szCs w:val="22"/>
              </w:rPr>
              <w:t xml:space="preserve">HIPAA Administrative Simplification </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446287" w:rsidP="00F56A0C">
            <w:pPr>
              <w:pStyle w:val="NormalWeb"/>
              <w:spacing w:before="0" w:beforeAutospacing="0" w:after="0" w:afterAutospacing="0"/>
            </w:pPr>
            <w:hyperlink r:id="rId13" w:history="1">
              <w:r w:rsidR="00DF5967">
                <w:rPr>
                  <w:rStyle w:val="Hyperlink"/>
                  <w:rFonts w:ascii="Georgia" w:hAnsi="Georgia"/>
                  <w:color w:val="1155CC"/>
                  <w:sz w:val="22"/>
                  <w:szCs w:val="22"/>
                </w:rPr>
                <w:t>http://www.hhs.gov/sites/default/files/hipaa-simplification-201303.pdf</w:t>
              </w:r>
            </w:hyperlink>
          </w:p>
        </w:tc>
      </w:tr>
      <w:tr w:rsidR="00DF5967" w:rsidTr="00F56A0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DF5967" w:rsidP="00F56A0C">
            <w:pPr>
              <w:pStyle w:val="NormalWeb"/>
              <w:spacing w:before="0" w:beforeAutospacing="0" w:after="0" w:afterAutospacing="0"/>
            </w:pPr>
            <w:r>
              <w:rPr>
                <w:rFonts w:ascii="Georgia" w:hAnsi="Georgia"/>
                <w:color w:val="000000"/>
                <w:sz w:val="22"/>
                <w:szCs w:val="22"/>
              </w:rPr>
              <w:t>HHS</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DF5967" w:rsidP="00F56A0C">
            <w:pPr>
              <w:pStyle w:val="NormalWeb"/>
              <w:spacing w:before="0" w:beforeAutospacing="0" w:after="0" w:afterAutospacing="0"/>
            </w:pPr>
            <w:r>
              <w:rPr>
                <w:rFonts w:ascii="Georgia" w:hAnsi="Georgia"/>
                <w:color w:val="000000"/>
                <w:sz w:val="22"/>
                <w:szCs w:val="22"/>
              </w:rPr>
              <w:t>Guidance on Research Using Coded Private Information or Specimens</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446287" w:rsidP="00F56A0C">
            <w:pPr>
              <w:pStyle w:val="NormalWeb"/>
              <w:spacing w:before="0" w:beforeAutospacing="0" w:after="0" w:afterAutospacing="0"/>
            </w:pPr>
            <w:hyperlink r:id="rId14" w:history="1">
              <w:r w:rsidR="00DF5967">
                <w:rPr>
                  <w:rStyle w:val="Hyperlink"/>
                  <w:rFonts w:ascii="Georgia" w:hAnsi="Georgia"/>
                  <w:color w:val="1155CC"/>
                  <w:sz w:val="22"/>
                  <w:szCs w:val="22"/>
                </w:rPr>
                <w:t>http://www.hhs.gov/ohrp/regulations-and-policy/guidance/research-involving-coded-private-information/</w:t>
              </w:r>
            </w:hyperlink>
          </w:p>
        </w:tc>
      </w:tr>
      <w:tr w:rsidR="00DF5967" w:rsidTr="00F56A0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DF5967" w:rsidP="00F56A0C">
            <w:pPr>
              <w:pStyle w:val="NormalWeb"/>
              <w:spacing w:before="0" w:beforeAutospacing="0" w:after="0" w:afterAutospacing="0"/>
            </w:pPr>
            <w:r>
              <w:rPr>
                <w:rFonts w:ascii="Georgia" w:hAnsi="Georgia"/>
                <w:color w:val="000000"/>
                <w:sz w:val="22"/>
                <w:szCs w:val="22"/>
              </w:rPr>
              <w:t>NIST</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DF5967" w:rsidP="00F56A0C">
            <w:pPr>
              <w:pStyle w:val="NormalWeb"/>
              <w:spacing w:before="0" w:beforeAutospacing="0" w:after="0" w:afterAutospacing="0"/>
            </w:pPr>
            <w:r>
              <w:rPr>
                <w:rFonts w:ascii="Georgia" w:hAnsi="Georgia"/>
                <w:color w:val="000000"/>
                <w:sz w:val="22"/>
                <w:szCs w:val="22"/>
              </w:rPr>
              <w:t xml:space="preserve">Guide to Protecting the Confidentiality of Personally Identifiable Information (PII) </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446287" w:rsidP="00F56A0C">
            <w:pPr>
              <w:pStyle w:val="NormalWeb"/>
              <w:spacing w:before="0" w:beforeAutospacing="0" w:after="0" w:afterAutospacing="0"/>
            </w:pPr>
            <w:hyperlink r:id="rId15" w:history="1">
              <w:r w:rsidR="00DF5967">
                <w:rPr>
                  <w:rStyle w:val="Hyperlink"/>
                  <w:rFonts w:ascii="Georgia" w:hAnsi="Georgia"/>
                  <w:color w:val="1155CC"/>
                  <w:sz w:val="22"/>
                  <w:szCs w:val="22"/>
                </w:rPr>
                <w:t>http://csrc.nist.gov/publications/nistpubs/800-122/sp800-122.pdf</w:t>
              </w:r>
            </w:hyperlink>
          </w:p>
          <w:p w:rsidR="00DF5967" w:rsidRDefault="00DF5967" w:rsidP="00F56A0C"/>
        </w:tc>
      </w:tr>
      <w:tr w:rsidR="00DF5967" w:rsidTr="00F56A0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DF5967" w:rsidP="00F56A0C">
            <w:pPr>
              <w:pStyle w:val="NormalWeb"/>
              <w:spacing w:before="0" w:beforeAutospacing="0" w:after="0" w:afterAutospacing="0"/>
            </w:pPr>
            <w:r>
              <w:rPr>
                <w:rFonts w:ascii="Georgia" w:hAnsi="Georgia"/>
                <w:color w:val="000000"/>
                <w:sz w:val="22"/>
                <w:szCs w:val="22"/>
              </w:rPr>
              <w:t>NIST</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DF5967" w:rsidP="00F56A0C">
            <w:pPr>
              <w:pStyle w:val="NormalWeb"/>
              <w:spacing w:before="0" w:beforeAutospacing="0" w:after="0" w:afterAutospacing="0"/>
            </w:pPr>
            <w:r>
              <w:rPr>
                <w:rFonts w:ascii="Georgia" w:hAnsi="Georgia"/>
                <w:color w:val="000000"/>
                <w:sz w:val="22"/>
                <w:szCs w:val="22"/>
              </w:rPr>
              <w:t>Guidelines for Media Sanitization</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5967" w:rsidRDefault="00446287" w:rsidP="00F56A0C">
            <w:pPr>
              <w:pStyle w:val="NormalWeb"/>
              <w:spacing w:before="0" w:beforeAutospacing="0" w:after="0" w:afterAutospacing="0"/>
            </w:pPr>
            <w:hyperlink r:id="rId16" w:history="1">
              <w:r w:rsidR="00DF5967">
                <w:rPr>
                  <w:rStyle w:val="Hyperlink"/>
                  <w:rFonts w:ascii="Georgia" w:hAnsi="Georgia"/>
                  <w:color w:val="1155CC"/>
                  <w:sz w:val="22"/>
                  <w:szCs w:val="22"/>
                </w:rPr>
                <w:t>http://nvlpubs.nist.gov/nistpubs/SpecialPublications/NIST.SP.800-88r1.pdf</w:t>
              </w:r>
            </w:hyperlink>
          </w:p>
        </w:tc>
      </w:tr>
    </w:tbl>
    <w:p w:rsidR="00DF5967" w:rsidRDefault="00DF5967" w:rsidP="006B6CA5">
      <w:pPr>
        <w:rPr>
          <w:rFonts w:ascii="Georgia" w:hAnsi="Georgia"/>
          <w:sz w:val="24"/>
        </w:rPr>
      </w:pPr>
    </w:p>
    <w:p w:rsidR="00DF5967" w:rsidRDefault="00DF5967" w:rsidP="00DF5967">
      <w:pPr>
        <w:spacing w:after="0" w:afterAutospacing="0"/>
        <w:contextualSpacing/>
        <w:rPr>
          <w:rFonts w:ascii="Georgia" w:hAnsi="Georgia"/>
          <w:b/>
          <w:sz w:val="24"/>
          <w:u w:val="single"/>
        </w:rPr>
      </w:pPr>
      <w:r w:rsidRPr="00DF5967">
        <w:rPr>
          <w:rFonts w:ascii="Georgia" w:hAnsi="Georgia"/>
          <w:b/>
          <w:sz w:val="24"/>
          <w:u w:val="single"/>
        </w:rPr>
        <w:t>Citations:</w:t>
      </w:r>
    </w:p>
    <w:p w:rsidR="00C81EBF" w:rsidRPr="00DF5967" w:rsidRDefault="00C81EBF" w:rsidP="00DF5967">
      <w:pPr>
        <w:spacing w:after="0" w:afterAutospacing="0"/>
        <w:contextualSpacing/>
        <w:rPr>
          <w:rFonts w:ascii="Georgia" w:hAnsi="Georgia"/>
          <w:b/>
          <w:sz w:val="24"/>
          <w:u w:val="single"/>
        </w:rPr>
      </w:pPr>
    </w:p>
    <w:p w:rsidR="00DF5967" w:rsidRPr="00C81EBF" w:rsidRDefault="00DF5967" w:rsidP="00C81EBF">
      <w:pPr>
        <w:spacing w:after="0" w:afterAutospacing="0" w:line="276" w:lineRule="auto"/>
        <w:contextualSpacing/>
        <w:rPr>
          <w:rFonts w:ascii="Georgia" w:hAnsi="Georgia"/>
        </w:rPr>
      </w:pPr>
      <w:r w:rsidRPr="00C81EBF">
        <w:rPr>
          <w:rFonts w:ascii="Georgia" w:hAnsi="Georgia"/>
        </w:rPr>
        <w:t xml:space="preserve">(1 &amp; 2) Department of Health and Human Services: </w:t>
      </w:r>
      <w:hyperlink r:id="rId17" w:history="1">
        <w:r w:rsidRPr="00C81EBF">
          <w:rPr>
            <w:rStyle w:val="Hyperlink"/>
            <w:rFonts w:ascii="Georgia" w:hAnsi="Georgia"/>
          </w:rPr>
          <w:t>http://www.hhs.gov/ocio/policy/</w:t>
        </w:r>
      </w:hyperlink>
    </w:p>
    <w:p w:rsidR="00DF5967" w:rsidRPr="00C81EBF" w:rsidRDefault="00DF5967" w:rsidP="00C81EBF">
      <w:pPr>
        <w:spacing w:after="0" w:afterAutospacing="0" w:line="276" w:lineRule="auto"/>
        <w:contextualSpacing/>
        <w:rPr>
          <w:rFonts w:ascii="Georgia" w:hAnsi="Georgia"/>
        </w:rPr>
      </w:pPr>
      <w:r w:rsidRPr="00C81EBF">
        <w:rPr>
          <w:rFonts w:ascii="Georgia" w:hAnsi="Georgia"/>
        </w:rPr>
        <w:t xml:space="preserve">(3) Department of Health and Human Services: </w:t>
      </w:r>
      <w:hyperlink r:id="rId18" w:history="1">
        <w:r w:rsidRPr="00C81EBF">
          <w:rPr>
            <w:rStyle w:val="Hyperlink"/>
            <w:rFonts w:ascii="Georgia" w:hAnsi="Georgia"/>
          </w:rPr>
          <w:t>http://www.hhs.gov/ohrp/regulations-and-policy/guidance</w:t>
        </w:r>
      </w:hyperlink>
    </w:p>
    <w:p w:rsidR="00DF5967" w:rsidRPr="00C81EBF" w:rsidRDefault="00DF5967" w:rsidP="00C81EBF">
      <w:pPr>
        <w:pStyle w:val="NormalWeb"/>
        <w:spacing w:before="0" w:beforeAutospacing="0" w:after="0" w:afterAutospacing="0" w:line="276" w:lineRule="auto"/>
        <w:contextualSpacing/>
        <w:rPr>
          <w:sz w:val="22"/>
        </w:rPr>
      </w:pPr>
      <w:r w:rsidRPr="00C81EBF">
        <w:rPr>
          <w:rFonts w:ascii="Georgia" w:hAnsi="Georgia"/>
          <w:sz w:val="22"/>
        </w:rPr>
        <w:t xml:space="preserve">(4) </w:t>
      </w:r>
      <w:r w:rsidRPr="00C81EBF">
        <w:rPr>
          <w:rFonts w:ascii="Georgia" w:eastAsiaTheme="minorHAnsi" w:hAnsi="Georgia" w:cstheme="minorBidi"/>
          <w:sz w:val="22"/>
          <w:szCs w:val="22"/>
        </w:rPr>
        <w:t>45 CFR 164.514</w:t>
      </w:r>
      <w:r w:rsidRPr="00C81EBF">
        <w:rPr>
          <w:rFonts w:ascii="Arial" w:hAnsi="Arial" w:cs="Arial"/>
          <w:color w:val="000000"/>
          <w:sz w:val="18"/>
          <w:szCs w:val="20"/>
          <w:shd w:val="clear" w:color="auto" w:fill="FFFFFF"/>
        </w:rPr>
        <w:t xml:space="preserve"> </w:t>
      </w:r>
      <w:hyperlink r:id="rId19" w:history="1">
        <w:r w:rsidRPr="00C81EBF">
          <w:rPr>
            <w:rStyle w:val="Hyperlink"/>
            <w:rFonts w:ascii="Georgia" w:hAnsi="Georgia"/>
            <w:sz w:val="20"/>
            <w:szCs w:val="22"/>
          </w:rPr>
          <w:t>http://www.ecfr.gov/cgi-bin/textidx?tpl=/ecfrbrowse/Title45/45cfr164_main_02.tpl</w:t>
        </w:r>
      </w:hyperlink>
    </w:p>
    <w:p w:rsidR="00DF5967" w:rsidRPr="00C81EBF" w:rsidRDefault="00C81EBF" w:rsidP="00C81EBF">
      <w:pPr>
        <w:spacing w:line="276" w:lineRule="auto"/>
        <w:rPr>
          <w:rFonts w:ascii="Georgia" w:hAnsi="Georgia"/>
        </w:rPr>
      </w:pPr>
      <w:r w:rsidRPr="00C81EBF">
        <w:rPr>
          <w:rFonts w:ascii="Georgia" w:hAnsi="Georgia"/>
        </w:rPr>
        <w:t>(5) NIST</w:t>
      </w:r>
      <w:r w:rsidRPr="00C81EBF">
        <w:rPr>
          <w:rFonts w:ascii="Arial" w:hAnsi="Arial" w:cs="Arial"/>
          <w:color w:val="000000"/>
          <w:sz w:val="18"/>
          <w:szCs w:val="20"/>
        </w:rPr>
        <w:t xml:space="preserve"> </w:t>
      </w:r>
      <w:hyperlink r:id="rId20" w:history="1">
        <w:r w:rsidRPr="00C81EBF">
          <w:rPr>
            <w:rStyle w:val="Hyperlink"/>
            <w:rFonts w:ascii="Georgia" w:hAnsi="Georgia"/>
          </w:rPr>
          <w:t>http://csrc.nist.gov/publications/nistpubs/800-122/sp800-122.pdf</w:t>
        </w:r>
      </w:hyperlink>
    </w:p>
    <w:p w:rsidR="00DF5967" w:rsidRPr="00DF5967" w:rsidRDefault="00DF5967" w:rsidP="00DF5967">
      <w:pPr>
        <w:rPr>
          <w:rFonts w:ascii="Georgia" w:hAnsi="Georgia"/>
          <w:sz w:val="24"/>
        </w:rPr>
      </w:pPr>
    </w:p>
    <w:sectPr w:rsidR="00DF5967" w:rsidRPr="00DF5967" w:rsidSect="003A094A">
      <w:headerReference w:type="default" r:id="rId21"/>
      <w:footerReference w:type="default" r:id="rId22"/>
      <w:pgSz w:w="12240" w:h="15840"/>
      <w:pgMar w:top="1440" w:right="1440" w:bottom="1440" w:left="1440" w:header="21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87" w:rsidRDefault="00446287" w:rsidP="003A094A">
      <w:pPr>
        <w:spacing w:after="0"/>
      </w:pPr>
      <w:r>
        <w:separator/>
      </w:r>
    </w:p>
  </w:endnote>
  <w:endnote w:type="continuationSeparator" w:id="0">
    <w:p w:rsidR="00446287" w:rsidRDefault="00446287" w:rsidP="003A0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4A" w:rsidRDefault="00F126BF">
    <w:pPr>
      <w:pStyle w:val="Footer"/>
    </w:pPr>
    <w:r w:rsidRPr="003A094A">
      <w:rPr>
        <w:rFonts w:ascii="Georgia" w:hAnsi="Georgia"/>
        <w:b/>
        <w:noProof/>
      </w:rPr>
      <mc:AlternateContent>
        <mc:Choice Requires="wps">
          <w:drawing>
            <wp:anchor distT="45720" distB="45720" distL="114300" distR="114300" simplePos="0" relativeHeight="251662336" behindDoc="0" locked="0" layoutInCell="1" allowOverlap="1" wp14:anchorId="3787932E" wp14:editId="672621E0">
              <wp:simplePos x="0" y="0"/>
              <wp:positionH relativeFrom="column">
                <wp:posOffset>-688340</wp:posOffset>
              </wp:positionH>
              <wp:positionV relativeFrom="paragraph">
                <wp:posOffset>509905</wp:posOffset>
              </wp:positionV>
              <wp:extent cx="7324090" cy="274320"/>
              <wp:effectExtent l="0" t="0" r="1016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090" cy="274320"/>
                      </a:xfrm>
                      <a:prstGeom prst="rect">
                        <a:avLst/>
                      </a:prstGeom>
                      <a:solidFill>
                        <a:srgbClr val="006600"/>
                      </a:solidFill>
                      <a:ln w="9525">
                        <a:solidFill>
                          <a:srgbClr val="000000"/>
                        </a:solidFill>
                        <a:miter lim="800000"/>
                        <a:headEnd/>
                        <a:tailEnd/>
                      </a:ln>
                    </wps:spPr>
                    <wps:txbx>
                      <w:txbxContent>
                        <w:p w:rsidR="00F126BF" w:rsidRPr="00F126BF" w:rsidRDefault="00F126BF" w:rsidP="00F126BF">
                          <w:pPr>
                            <w:rPr>
                              <w:rFonts w:ascii="Georgia" w:hAnsi="Georgia"/>
                              <w:b/>
                            </w:rPr>
                          </w:pPr>
                          <w:r>
                            <w:rPr>
                              <w:rFonts w:ascii="Georgia" w:hAnsi="Georgia"/>
                              <w:b/>
                            </w:rPr>
                            <w:t>DATA DESTRUCTION POLICY</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REVISED:</w:t>
                          </w:r>
                          <w:r>
                            <w:rPr>
                              <w:rFonts w:ascii="Georgia" w:hAnsi="Georgia"/>
                              <w:b/>
                            </w:rPr>
                            <w:tab/>
                            <w:t>Oct. 5</w:t>
                          </w:r>
                          <w:r w:rsidRPr="00F126BF">
                            <w:rPr>
                              <w:rFonts w:ascii="Georgia" w:hAnsi="Georgia"/>
                              <w:b/>
                              <w:vertAlign w:val="superscript"/>
                            </w:rPr>
                            <w:t>th</w:t>
                          </w:r>
                          <w:r>
                            <w:rPr>
                              <w:rFonts w:ascii="Georgia" w:hAnsi="Georgia"/>
                              <w:b/>
                            </w:rPr>
                            <w: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4.2pt;margin-top:40.15pt;width:576.7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" fillcolor="#060">
              <v:textbox>
                <w:txbxContent>
                  <w:p w:rsidR="00F126BF" w:rsidRPr="00F126BF" w:rsidRDefault="00F126BF" w:rsidP="00F126BF">
                    <w:pPr>
                      <w:rPr>
                        <w:rFonts w:ascii="Georgia" w:hAnsi="Georgia"/>
                        <w:b/>
                      </w:rPr>
                    </w:pPr>
                    <w:r>
                      <w:rPr>
                        <w:rFonts w:ascii="Georgia" w:hAnsi="Georgia"/>
                        <w:b/>
                      </w:rPr>
                      <w:t>DATA DESTRUCTION POLICY</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REVISED:</w:t>
                    </w:r>
                    <w:r>
                      <w:rPr>
                        <w:rFonts w:ascii="Georgia" w:hAnsi="Georgia"/>
                        <w:b/>
                      </w:rPr>
                      <w:tab/>
                      <w:t>Oct. 5</w:t>
                    </w:r>
                    <w:r w:rsidRPr="00F126BF">
                      <w:rPr>
                        <w:rFonts w:ascii="Georgia" w:hAnsi="Georgia"/>
                        <w:b/>
                        <w:vertAlign w:val="superscript"/>
                      </w:rPr>
                      <w:t>th</w:t>
                    </w:r>
                    <w:r>
                      <w:rPr>
                        <w:rFonts w:ascii="Georgia" w:hAnsi="Georgia"/>
                        <w:b/>
                      </w:rPr>
                      <w:t>, 2016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87" w:rsidRDefault="00446287" w:rsidP="003A094A">
      <w:pPr>
        <w:spacing w:after="0"/>
      </w:pPr>
      <w:r>
        <w:separator/>
      </w:r>
    </w:p>
  </w:footnote>
  <w:footnote w:type="continuationSeparator" w:id="0">
    <w:p w:rsidR="00446287" w:rsidRDefault="00446287" w:rsidP="003A09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4A" w:rsidRPr="003A094A" w:rsidRDefault="00E40A2A" w:rsidP="003A094A">
    <w:pPr>
      <w:pStyle w:val="Header"/>
      <w:tabs>
        <w:tab w:val="clear" w:pos="4680"/>
        <w:tab w:val="clear" w:pos="9360"/>
        <w:tab w:val="left" w:pos="3912"/>
      </w:tabs>
      <w:rPr>
        <w:rFonts w:ascii="Georgia" w:hAnsi="Georgia"/>
        <w:b/>
      </w:rPr>
    </w:pPr>
    <w:r>
      <w:rPr>
        <w:rFonts w:ascii="Georgia" w:hAnsi="Georgia"/>
        <w:b/>
        <w:noProof/>
      </w:rPr>
      <mc:AlternateContent>
        <mc:Choice Requires="wps">
          <w:drawing>
            <wp:anchor distT="0" distB="0" distL="114300" distR="114300" simplePos="0" relativeHeight="251663360" behindDoc="0" locked="0" layoutInCell="1" allowOverlap="1">
              <wp:simplePos x="0" y="0"/>
              <wp:positionH relativeFrom="column">
                <wp:posOffset>1061049</wp:posOffset>
              </wp:positionH>
              <wp:positionV relativeFrom="paragraph">
                <wp:posOffset>-431321</wp:posOffset>
              </wp:positionV>
              <wp:extent cx="2700068" cy="162836"/>
              <wp:effectExtent l="0" t="0" r="5080" b="8890"/>
              <wp:wrapNone/>
              <wp:docPr id="2" name="Rectangle 2"/>
              <wp:cNvGraphicFramePr/>
              <a:graphic xmlns:a="http://schemas.openxmlformats.org/drawingml/2006/main">
                <a:graphicData uri="http://schemas.microsoft.com/office/word/2010/wordprocessingShape">
                  <wps:wsp>
                    <wps:cNvSpPr/>
                    <wps:spPr>
                      <a:xfrm>
                        <a:off x="0" y="0"/>
                        <a:ext cx="2700068" cy="1628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B2636D1" id="Rectangle 2" o:spid="_x0000_s1026" style="position:absolute;margin-left:83.55pt;margin-top:-33.95pt;width:212.6pt;height:1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" fillcolor="white [3212]" stroked="f" strokeweight="1pt"/>
          </w:pict>
        </mc:Fallback>
      </mc:AlternateContent>
    </w:r>
    <w:r w:rsidR="003A094A" w:rsidRPr="003A094A">
      <w:rPr>
        <w:rFonts w:ascii="Georgia" w:hAnsi="Georgia"/>
        <w:b/>
        <w:noProof/>
      </w:rPr>
      <mc:AlternateContent>
        <mc:Choice Requires="wps">
          <w:drawing>
            <wp:anchor distT="45720" distB="45720" distL="114300" distR="114300" simplePos="0" relativeHeight="251660288" behindDoc="0" locked="0" layoutInCell="1" allowOverlap="1">
              <wp:simplePos x="0" y="0"/>
              <wp:positionH relativeFrom="column">
                <wp:posOffset>-694690</wp:posOffset>
              </wp:positionH>
              <wp:positionV relativeFrom="paragraph">
                <wp:posOffset>-161925</wp:posOffset>
              </wp:positionV>
              <wp:extent cx="7324090" cy="274320"/>
              <wp:effectExtent l="0" t="0" r="101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090" cy="274320"/>
                      </a:xfrm>
                      <a:prstGeom prst="rect">
                        <a:avLst/>
                      </a:prstGeom>
                      <a:solidFill>
                        <a:srgbClr val="006600"/>
                      </a:solidFill>
                      <a:ln w="9525">
                        <a:solidFill>
                          <a:srgbClr val="000000"/>
                        </a:solidFill>
                        <a:miter lim="800000"/>
                        <a:headEnd/>
                        <a:tailEnd/>
                      </a:ln>
                    </wps:spPr>
                    <wps:txbx>
                      <w:txbxContent>
                        <w:p w:rsidR="003A094A" w:rsidRPr="00F126BF" w:rsidRDefault="003A094A" w:rsidP="00F126BF">
                          <w:pPr>
                            <w:rPr>
                              <w:rFonts w:ascii="Georgia" w:hAnsi="Georgia"/>
                              <w:b/>
                            </w:rPr>
                          </w:pPr>
                          <w:r w:rsidRPr="00F126BF">
                            <w:rPr>
                              <w:rFonts w:ascii="Georgia" w:hAnsi="Georgia"/>
                              <w:b/>
                            </w:rPr>
                            <w:t xml:space="preserve">ENTERPRISE – DATA DESTRUCTION POLICY – </w:t>
                          </w:r>
                          <w:r w:rsidR="004C1300">
                            <w:rPr>
                              <w:rFonts w:ascii="Georgia" w:hAnsi="Georgia"/>
                              <w:b/>
                            </w:rPr>
                            <w:t>PII / PH</w:t>
                          </w:r>
                          <w:r w:rsidRPr="00F126BF">
                            <w:rPr>
                              <w:rFonts w:ascii="Georgia" w:hAnsi="Georgia"/>
                              <w:b/>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pt;margin-top:-12.75pt;width:576.7pt;height:2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" fillcolor="#060">
              <v:textbox>
                <w:txbxContent>
                  <w:p w:rsidR="003A094A" w:rsidRPr="00F126BF" w:rsidRDefault="003A094A" w:rsidP="00F126BF">
                    <w:pPr>
                      <w:rPr>
                        <w:rFonts w:ascii="Georgia" w:hAnsi="Georgia"/>
                        <w:b/>
                      </w:rPr>
                    </w:pPr>
                    <w:r w:rsidRPr="00F126BF">
                      <w:rPr>
                        <w:rFonts w:ascii="Georgia" w:hAnsi="Georgia"/>
                        <w:b/>
                      </w:rPr>
                      <w:t xml:space="preserve">ENTERPRISE – DATA DESTRUCTION POLICY – </w:t>
                    </w:r>
                    <w:r w:rsidR="004C1300">
                      <w:rPr>
                        <w:rFonts w:ascii="Georgia" w:hAnsi="Georgia"/>
                        <w:b/>
                      </w:rPr>
                      <w:t>PII / PH</w:t>
                    </w:r>
                    <w:r w:rsidRPr="00F126BF">
                      <w:rPr>
                        <w:rFonts w:ascii="Georgia" w:hAnsi="Georgia"/>
                        <w:b/>
                      </w:rPr>
                      <w:t>I</w:t>
                    </w:r>
                  </w:p>
                </w:txbxContent>
              </v:textbox>
            </v:shape>
          </w:pict>
        </mc:Fallback>
      </mc:AlternateContent>
    </w:r>
    <w:r w:rsidR="003A094A" w:rsidRPr="003A094A">
      <w:rPr>
        <w:rFonts w:ascii="Georgia" w:hAnsi="Georgia"/>
        <w:b/>
        <w:noProof/>
        <w:color w:val="FFFFFF" w:themeColor="background1"/>
      </w:rPr>
      <w:drawing>
        <wp:anchor distT="0" distB="0" distL="114300" distR="114300" simplePos="0" relativeHeight="251658240" behindDoc="0" locked="0" layoutInCell="1" allowOverlap="1" wp14:anchorId="2751E93D" wp14:editId="0C6D95E4">
          <wp:simplePos x="0" y="0"/>
          <wp:positionH relativeFrom="column">
            <wp:posOffset>-802717</wp:posOffset>
          </wp:positionH>
          <wp:positionV relativeFrom="paragraph">
            <wp:posOffset>-1248259</wp:posOffset>
          </wp:positionV>
          <wp:extent cx="4663002" cy="982638"/>
          <wp:effectExtent l="0" t="0" r="444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 Policy Project 1.png"/>
                  <pic:cNvPicPr/>
                </pic:nvPicPr>
                <pic:blipFill>
                  <a:blip r:embed="rId1">
                    <a:extLst>
                      <a:ext uri="{28A0092B-C50C-407E-A947-70E740481C1C}">
                        <a14:useLocalDpi xmlns:a14="http://schemas.microsoft.com/office/drawing/2010/main" val="0"/>
                      </a:ext>
                    </a:extLst>
                  </a:blip>
                  <a:stretch>
                    <a:fillRect/>
                  </a:stretch>
                </pic:blipFill>
                <pic:spPr>
                  <a:xfrm>
                    <a:off x="0" y="0"/>
                    <a:ext cx="4663002" cy="982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819"/>
    <w:multiLevelType w:val="hybridMultilevel"/>
    <w:tmpl w:val="0B44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C5820"/>
    <w:multiLevelType w:val="hybridMultilevel"/>
    <w:tmpl w:val="09FC7690"/>
    <w:lvl w:ilvl="0" w:tplc="5C5A5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74CE3"/>
    <w:multiLevelType w:val="hybridMultilevel"/>
    <w:tmpl w:val="C88E8F0A"/>
    <w:lvl w:ilvl="0" w:tplc="B0E6F9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53652"/>
    <w:multiLevelType w:val="hybridMultilevel"/>
    <w:tmpl w:val="3F84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B5144"/>
    <w:multiLevelType w:val="hybridMultilevel"/>
    <w:tmpl w:val="B1823778"/>
    <w:lvl w:ilvl="0" w:tplc="5C5A54E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D45A2"/>
    <w:multiLevelType w:val="hybridMultilevel"/>
    <w:tmpl w:val="49FE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34949"/>
    <w:multiLevelType w:val="multilevel"/>
    <w:tmpl w:val="3A30C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val="0"/>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C48C3"/>
    <w:multiLevelType w:val="hybridMultilevel"/>
    <w:tmpl w:val="6F3C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B51FB"/>
    <w:multiLevelType w:val="hybridMultilevel"/>
    <w:tmpl w:val="A67E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751AA"/>
    <w:multiLevelType w:val="hybridMultilevel"/>
    <w:tmpl w:val="5C52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67781"/>
    <w:multiLevelType w:val="hybridMultilevel"/>
    <w:tmpl w:val="9F42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74136"/>
    <w:multiLevelType w:val="multilevel"/>
    <w:tmpl w:val="0B2A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3060B"/>
    <w:multiLevelType w:val="hybridMultilevel"/>
    <w:tmpl w:val="7B2CED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D05E12"/>
    <w:multiLevelType w:val="hybridMultilevel"/>
    <w:tmpl w:val="79924080"/>
    <w:lvl w:ilvl="0" w:tplc="D7264482">
      <w:start w:val="1"/>
      <w:numFmt w:val="decimal"/>
      <w:lvlText w:val="%1."/>
      <w:lvlJc w:val="left"/>
      <w:pPr>
        <w:ind w:left="1080" w:hanging="720"/>
      </w:pPr>
      <w:rPr>
        <w:rFonts w:hint="default"/>
        <w:b/>
        <w:color w:val="0066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2178B4"/>
    <w:multiLevelType w:val="hybridMultilevel"/>
    <w:tmpl w:val="A9FA7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3"/>
  </w:num>
  <w:num w:numId="5">
    <w:abstractNumId w:val="12"/>
  </w:num>
  <w:num w:numId="6">
    <w:abstractNumId w:val="5"/>
  </w:num>
  <w:num w:numId="7">
    <w:abstractNumId w:val="9"/>
  </w:num>
  <w:num w:numId="8">
    <w:abstractNumId w:val="14"/>
  </w:num>
  <w:num w:numId="9">
    <w:abstractNumId w:val="10"/>
  </w:num>
  <w:num w:numId="10">
    <w:abstractNumId w:val="7"/>
  </w:num>
  <w:num w:numId="11">
    <w:abstractNumId w:val="11"/>
  </w:num>
  <w:num w:numId="12">
    <w:abstractNumId w:val="6"/>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4A"/>
    <w:rsid w:val="001B328B"/>
    <w:rsid w:val="001F7A7E"/>
    <w:rsid w:val="00201226"/>
    <w:rsid w:val="0020403A"/>
    <w:rsid w:val="00204070"/>
    <w:rsid w:val="00206695"/>
    <w:rsid w:val="0021049D"/>
    <w:rsid w:val="00223282"/>
    <w:rsid w:val="0030187C"/>
    <w:rsid w:val="00304D9F"/>
    <w:rsid w:val="00315DA8"/>
    <w:rsid w:val="003606BB"/>
    <w:rsid w:val="003627CF"/>
    <w:rsid w:val="003A094A"/>
    <w:rsid w:val="003D1C9B"/>
    <w:rsid w:val="003E0908"/>
    <w:rsid w:val="004273E7"/>
    <w:rsid w:val="004301D1"/>
    <w:rsid w:val="004367BE"/>
    <w:rsid w:val="00446287"/>
    <w:rsid w:val="00462962"/>
    <w:rsid w:val="004C1300"/>
    <w:rsid w:val="00516653"/>
    <w:rsid w:val="005F22BA"/>
    <w:rsid w:val="006358B2"/>
    <w:rsid w:val="006555B5"/>
    <w:rsid w:val="00674D19"/>
    <w:rsid w:val="006B6CA5"/>
    <w:rsid w:val="006F02C0"/>
    <w:rsid w:val="00785997"/>
    <w:rsid w:val="007B2CA1"/>
    <w:rsid w:val="0083193E"/>
    <w:rsid w:val="00946695"/>
    <w:rsid w:val="009D59C1"/>
    <w:rsid w:val="00AB63B8"/>
    <w:rsid w:val="00BA03B7"/>
    <w:rsid w:val="00BB3358"/>
    <w:rsid w:val="00C81EBF"/>
    <w:rsid w:val="00CB6A94"/>
    <w:rsid w:val="00D81547"/>
    <w:rsid w:val="00DF5967"/>
    <w:rsid w:val="00E2280C"/>
    <w:rsid w:val="00E40A2A"/>
    <w:rsid w:val="00E912B2"/>
    <w:rsid w:val="00EE2EFE"/>
    <w:rsid w:val="00F126BF"/>
    <w:rsid w:val="00F25FF4"/>
    <w:rsid w:val="00F300C7"/>
    <w:rsid w:val="00F56A0C"/>
    <w:rsid w:val="00FA6E25"/>
    <w:rsid w:val="00FC7993"/>
    <w:rsid w:val="00FE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94A"/>
    <w:pPr>
      <w:tabs>
        <w:tab w:val="center" w:pos="4680"/>
        <w:tab w:val="right" w:pos="9360"/>
      </w:tabs>
      <w:spacing w:after="0"/>
    </w:pPr>
  </w:style>
  <w:style w:type="character" w:customStyle="1" w:styleId="HeaderChar">
    <w:name w:val="Header Char"/>
    <w:basedOn w:val="DefaultParagraphFont"/>
    <w:link w:val="Header"/>
    <w:uiPriority w:val="99"/>
    <w:rsid w:val="003A094A"/>
  </w:style>
  <w:style w:type="paragraph" w:styleId="Footer">
    <w:name w:val="footer"/>
    <w:basedOn w:val="Normal"/>
    <w:link w:val="FooterChar"/>
    <w:uiPriority w:val="99"/>
    <w:unhideWhenUsed/>
    <w:rsid w:val="003A094A"/>
    <w:pPr>
      <w:tabs>
        <w:tab w:val="center" w:pos="4680"/>
        <w:tab w:val="right" w:pos="9360"/>
      </w:tabs>
      <w:spacing w:after="0"/>
    </w:pPr>
  </w:style>
  <w:style w:type="character" w:customStyle="1" w:styleId="FooterChar">
    <w:name w:val="Footer Char"/>
    <w:basedOn w:val="DefaultParagraphFont"/>
    <w:link w:val="Footer"/>
    <w:uiPriority w:val="99"/>
    <w:rsid w:val="003A094A"/>
  </w:style>
  <w:style w:type="paragraph" w:styleId="ListParagraph">
    <w:name w:val="List Paragraph"/>
    <w:basedOn w:val="Normal"/>
    <w:uiPriority w:val="34"/>
    <w:qFormat/>
    <w:rsid w:val="003A094A"/>
    <w:pPr>
      <w:ind w:left="720"/>
      <w:contextualSpacing/>
    </w:pPr>
  </w:style>
  <w:style w:type="table" w:styleId="TableGrid">
    <w:name w:val="Table Grid"/>
    <w:basedOn w:val="TableNormal"/>
    <w:uiPriority w:val="39"/>
    <w:rsid w:val="00315D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6653"/>
    <w:pPr>
      <w:spacing w:before="100" w:before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60A8"/>
    <w:rPr>
      <w:color w:val="0563C1" w:themeColor="hyperlink"/>
      <w:u w:val="single"/>
    </w:rPr>
  </w:style>
  <w:style w:type="paragraph" w:styleId="BalloonText">
    <w:name w:val="Balloon Text"/>
    <w:basedOn w:val="Normal"/>
    <w:link w:val="BalloonTextChar"/>
    <w:uiPriority w:val="99"/>
    <w:semiHidden/>
    <w:unhideWhenUsed/>
    <w:rsid w:val="006358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94A"/>
    <w:pPr>
      <w:tabs>
        <w:tab w:val="center" w:pos="4680"/>
        <w:tab w:val="right" w:pos="9360"/>
      </w:tabs>
      <w:spacing w:after="0"/>
    </w:pPr>
  </w:style>
  <w:style w:type="character" w:customStyle="1" w:styleId="HeaderChar">
    <w:name w:val="Header Char"/>
    <w:basedOn w:val="DefaultParagraphFont"/>
    <w:link w:val="Header"/>
    <w:uiPriority w:val="99"/>
    <w:rsid w:val="003A094A"/>
  </w:style>
  <w:style w:type="paragraph" w:styleId="Footer">
    <w:name w:val="footer"/>
    <w:basedOn w:val="Normal"/>
    <w:link w:val="FooterChar"/>
    <w:uiPriority w:val="99"/>
    <w:unhideWhenUsed/>
    <w:rsid w:val="003A094A"/>
    <w:pPr>
      <w:tabs>
        <w:tab w:val="center" w:pos="4680"/>
        <w:tab w:val="right" w:pos="9360"/>
      </w:tabs>
      <w:spacing w:after="0"/>
    </w:pPr>
  </w:style>
  <w:style w:type="character" w:customStyle="1" w:styleId="FooterChar">
    <w:name w:val="Footer Char"/>
    <w:basedOn w:val="DefaultParagraphFont"/>
    <w:link w:val="Footer"/>
    <w:uiPriority w:val="99"/>
    <w:rsid w:val="003A094A"/>
  </w:style>
  <w:style w:type="paragraph" w:styleId="ListParagraph">
    <w:name w:val="List Paragraph"/>
    <w:basedOn w:val="Normal"/>
    <w:uiPriority w:val="34"/>
    <w:qFormat/>
    <w:rsid w:val="003A094A"/>
    <w:pPr>
      <w:ind w:left="720"/>
      <w:contextualSpacing/>
    </w:pPr>
  </w:style>
  <w:style w:type="table" w:styleId="TableGrid">
    <w:name w:val="Table Grid"/>
    <w:basedOn w:val="TableNormal"/>
    <w:uiPriority w:val="39"/>
    <w:rsid w:val="00315D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6653"/>
    <w:pPr>
      <w:spacing w:before="100" w:before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60A8"/>
    <w:rPr>
      <w:color w:val="0563C1" w:themeColor="hyperlink"/>
      <w:u w:val="single"/>
    </w:rPr>
  </w:style>
  <w:style w:type="paragraph" w:styleId="BalloonText">
    <w:name w:val="Balloon Text"/>
    <w:basedOn w:val="Normal"/>
    <w:link w:val="BalloonTextChar"/>
    <w:uiPriority w:val="99"/>
    <w:semiHidden/>
    <w:unhideWhenUsed/>
    <w:rsid w:val="006358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866">
      <w:bodyDiv w:val="1"/>
      <w:marLeft w:val="0"/>
      <w:marRight w:val="0"/>
      <w:marTop w:val="0"/>
      <w:marBottom w:val="0"/>
      <w:divBdr>
        <w:top w:val="none" w:sz="0" w:space="0" w:color="auto"/>
        <w:left w:val="none" w:sz="0" w:space="0" w:color="auto"/>
        <w:bottom w:val="none" w:sz="0" w:space="0" w:color="auto"/>
        <w:right w:val="none" w:sz="0" w:space="0" w:color="auto"/>
      </w:divBdr>
      <w:divsChild>
        <w:div w:id="1030759830">
          <w:marLeft w:val="0"/>
          <w:marRight w:val="0"/>
          <w:marTop w:val="0"/>
          <w:marBottom w:val="0"/>
          <w:divBdr>
            <w:top w:val="none" w:sz="0" w:space="0" w:color="auto"/>
            <w:left w:val="none" w:sz="0" w:space="0" w:color="auto"/>
            <w:bottom w:val="none" w:sz="0" w:space="0" w:color="auto"/>
            <w:right w:val="none" w:sz="0" w:space="0" w:color="auto"/>
          </w:divBdr>
        </w:div>
      </w:divsChild>
    </w:div>
    <w:div w:id="819224830">
      <w:bodyDiv w:val="1"/>
      <w:marLeft w:val="0"/>
      <w:marRight w:val="0"/>
      <w:marTop w:val="0"/>
      <w:marBottom w:val="0"/>
      <w:divBdr>
        <w:top w:val="none" w:sz="0" w:space="0" w:color="auto"/>
        <w:left w:val="none" w:sz="0" w:space="0" w:color="auto"/>
        <w:bottom w:val="none" w:sz="0" w:space="0" w:color="auto"/>
        <w:right w:val="none" w:sz="0" w:space="0" w:color="auto"/>
      </w:divBdr>
    </w:div>
    <w:div w:id="1192760509">
      <w:bodyDiv w:val="1"/>
      <w:marLeft w:val="0"/>
      <w:marRight w:val="0"/>
      <w:marTop w:val="0"/>
      <w:marBottom w:val="0"/>
      <w:divBdr>
        <w:top w:val="none" w:sz="0" w:space="0" w:color="auto"/>
        <w:left w:val="none" w:sz="0" w:space="0" w:color="auto"/>
        <w:bottom w:val="none" w:sz="0" w:space="0" w:color="auto"/>
        <w:right w:val="none" w:sz="0" w:space="0" w:color="auto"/>
      </w:divBdr>
    </w:div>
    <w:div w:id="15741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sites/default/files/hipaa-simplification-201303.pdf" TargetMode="External"/><Relationship Id="rId18" Type="http://schemas.openxmlformats.org/officeDocument/2006/relationships/hyperlink" Target="http://www.hhs.gov/ohrp/regulations-and-policy/guida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cfr.gov/cgi-bin/text-idx?tpl=/ecfrbrowse/Title45/45cfr164_main_02.tpl" TargetMode="External"/><Relationship Id="rId17" Type="http://schemas.openxmlformats.org/officeDocument/2006/relationships/hyperlink" Target="http://www.hhs.gov/ocio/policy/" TargetMode="External"/><Relationship Id="rId2" Type="http://schemas.openxmlformats.org/officeDocument/2006/relationships/numbering" Target="numbering.xml"/><Relationship Id="rId16" Type="http://schemas.openxmlformats.org/officeDocument/2006/relationships/hyperlink" Target="http://nvlpubs.nist.gov/nistpubs/SpecialPublications/NIST.SP.800-88r1.pdf" TargetMode="External"/><Relationship Id="rId20" Type="http://schemas.openxmlformats.org/officeDocument/2006/relationships/hyperlink" Target="http://csrc.nist.gov/publications/nistpubs/800-122/sp800-1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src.nist.gov/publications/nistpubs/800-122/sp800-122.pdf" TargetMode="External"/><Relationship Id="rId23" Type="http://schemas.openxmlformats.org/officeDocument/2006/relationships/fontTable" Target="fontTable.xml"/><Relationship Id="rId10" Type="http://schemas.openxmlformats.org/officeDocument/2006/relationships/hyperlink" Target="mailto:Randy.Halberson@SPHospital.org" TargetMode="External"/><Relationship Id="rId19" Type="http://schemas.openxmlformats.org/officeDocument/2006/relationships/hyperlink" Target="http://www.ecfr.gov/cgi-bin/textidx?tpl=/ecfrbrowse/Title45/45cfr164_main_02.tpl" TargetMode="External"/><Relationship Id="rId4" Type="http://schemas.microsoft.com/office/2007/relationships/stylesWithEffects" Target="stylesWithEffects.xml"/><Relationship Id="rId9" Type="http://schemas.openxmlformats.org/officeDocument/2006/relationships/hyperlink" Target="mailto:SprengerAuditors@SPHospital.org" TargetMode="External"/><Relationship Id="rId14" Type="http://schemas.openxmlformats.org/officeDocument/2006/relationships/hyperlink" Target="http://www.hhs.gov/ohrp/regulations-and-policy/guidance/research-involving-coded-private-informa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349E-305D-4E47-80C5-2C85AAFB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Silas Adams</dc:creator>
  <cp:lastModifiedBy>CDT User</cp:lastModifiedBy>
  <cp:revision>3</cp:revision>
  <dcterms:created xsi:type="dcterms:W3CDTF">2016-10-17T23:42:00Z</dcterms:created>
  <dcterms:modified xsi:type="dcterms:W3CDTF">2016-10-17T23:44:00Z</dcterms:modified>
</cp:coreProperties>
</file>