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8" w:rsidRPr="00E75290" w:rsidRDefault="00780D28" w:rsidP="00243E24">
      <w:pPr>
        <w:ind w:left="720" w:right="720"/>
        <w:rPr>
          <w:color w:val="000000" w:themeColor="text1"/>
          <w:sz w:val="26"/>
          <w:szCs w:val="26"/>
        </w:rPr>
      </w:pPr>
      <w:r w:rsidRPr="00E75290">
        <w:rPr>
          <w:b/>
          <w:color w:val="000000" w:themeColor="text1"/>
          <w:sz w:val="26"/>
          <w:szCs w:val="26"/>
        </w:rPr>
        <w:t>Department Name:</w:t>
      </w:r>
      <w:r w:rsidRPr="00E75290">
        <w:rPr>
          <w:color w:val="000000" w:themeColor="text1"/>
          <w:sz w:val="26"/>
          <w:szCs w:val="26"/>
        </w:rPr>
        <w:t xml:space="preserve"> </w:t>
      </w:r>
      <w:r w:rsidR="001B015B" w:rsidRPr="00E75290">
        <w:rPr>
          <w:color w:val="000000" w:themeColor="text1"/>
          <w:sz w:val="26"/>
          <w:szCs w:val="26"/>
        </w:rPr>
        <w:t xml:space="preserve"> </w:t>
      </w:r>
      <w:r w:rsidR="00206A0D" w:rsidRPr="00E75290">
        <w:rPr>
          <w:color w:val="000000" w:themeColor="text1"/>
          <w:sz w:val="26"/>
          <w:szCs w:val="26"/>
        </w:rPr>
        <w:t xml:space="preserve">Information </w:t>
      </w:r>
      <w:r w:rsidR="00BF5ED0">
        <w:rPr>
          <w:color w:val="000000" w:themeColor="text1"/>
          <w:sz w:val="26"/>
          <w:szCs w:val="26"/>
        </w:rPr>
        <w:t>Technology</w:t>
      </w:r>
      <w:r w:rsidR="00206A0D" w:rsidRPr="00E75290">
        <w:rPr>
          <w:color w:val="000000" w:themeColor="text1"/>
          <w:sz w:val="26"/>
          <w:szCs w:val="26"/>
        </w:rPr>
        <w:t xml:space="preserve"> Department</w:t>
      </w:r>
    </w:p>
    <w:p w:rsidR="00A65751" w:rsidRPr="00E75290" w:rsidRDefault="00A65751" w:rsidP="00243E24">
      <w:pPr>
        <w:ind w:left="720" w:right="720"/>
        <w:rPr>
          <w:sz w:val="26"/>
          <w:szCs w:val="26"/>
        </w:rPr>
      </w:pPr>
      <w:r w:rsidRPr="00E75290">
        <w:rPr>
          <w:b/>
          <w:sz w:val="26"/>
          <w:szCs w:val="26"/>
        </w:rPr>
        <w:t>Title:</w:t>
      </w:r>
      <w:r w:rsidRPr="00E75290">
        <w:rPr>
          <w:sz w:val="26"/>
          <w:szCs w:val="26"/>
        </w:rPr>
        <w:t xml:space="preserve">  Data Destruction Policy #2016-CISO-1  </w:t>
      </w:r>
    </w:p>
    <w:p w:rsidR="00A65751" w:rsidRPr="00E75290" w:rsidRDefault="00A65751" w:rsidP="00243E24">
      <w:pPr>
        <w:ind w:left="720" w:right="720"/>
        <w:rPr>
          <w:sz w:val="26"/>
          <w:szCs w:val="26"/>
        </w:rPr>
      </w:pPr>
      <w:r w:rsidRPr="00E75290">
        <w:rPr>
          <w:b/>
          <w:sz w:val="26"/>
          <w:szCs w:val="26"/>
        </w:rPr>
        <w:t>Effective Date:</w:t>
      </w:r>
      <w:r w:rsidRPr="00E75290">
        <w:rPr>
          <w:sz w:val="26"/>
          <w:szCs w:val="26"/>
        </w:rPr>
        <w:t xml:space="preserve">  November 1, 2016</w:t>
      </w:r>
    </w:p>
    <w:p w:rsidR="00A65751" w:rsidRPr="00E75290" w:rsidRDefault="00A65751" w:rsidP="00243E24">
      <w:pPr>
        <w:ind w:left="720" w:right="720"/>
        <w:rPr>
          <w:color w:val="000000" w:themeColor="text1"/>
          <w:sz w:val="26"/>
          <w:szCs w:val="26"/>
        </w:rPr>
      </w:pPr>
      <w:r w:rsidRPr="00E75290">
        <w:rPr>
          <w:b/>
          <w:color w:val="000000" w:themeColor="text1"/>
          <w:sz w:val="26"/>
          <w:szCs w:val="26"/>
        </w:rPr>
        <w:t>Approved by:</w:t>
      </w:r>
      <w:r w:rsidRPr="00E75290">
        <w:rPr>
          <w:color w:val="000000" w:themeColor="text1"/>
          <w:sz w:val="26"/>
          <w:szCs w:val="26"/>
        </w:rPr>
        <w:t xml:space="preserve">  Vice President of IT and Chief Information Officer</w:t>
      </w:r>
    </w:p>
    <w:p w:rsidR="00316073" w:rsidRPr="00E75290" w:rsidRDefault="00316073" w:rsidP="00E75290">
      <w:pPr>
        <w:ind w:left="720" w:right="720"/>
        <w:rPr>
          <w:sz w:val="26"/>
          <w:szCs w:val="26"/>
        </w:rPr>
      </w:pPr>
    </w:p>
    <w:p w:rsidR="00A65751" w:rsidRPr="00206A0D" w:rsidRDefault="00A65751" w:rsidP="00E75290">
      <w:pPr>
        <w:ind w:left="720" w:right="720"/>
        <w:rPr>
          <w:sz w:val="24"/>
          <w:szCs w:val="24"/>
        </w:rPr>
      </w:pPr>
    </w:p>
    <w:p w:rsidR="00316073" w:rsidRPr="00463435" w:rsidRDefault="00316073" w:rsidP="00E75290">
      <w:pPr>
        <w:ind w:left="720" w:right="720"/>
        <w:rPr>
          <w:b/>
          <w:color w:val="FF0000"/>
          <w:sz w:val="24"/>
          <w:szCs w:val="24"/>
        </w:rPr>
      </w:pPr>
      <w:r w:rsidRPr="00463435">
        <w:rPr>
          <w:b/>
          <w:color w:val="000000" w:themeColor="text1"/>
          <w:sz w:val="24"/>
          <w:szCs w:val="24"/>
        </w:rPr>
        <w:t>Overview:</w:t>
      </w:r>
      <w:r w:rsidRPr="00463435">
        <w:rPr>
          <w:b/>
          <w:color w:val="FF0000"/>
          <w:sz w:val="24"/>
          <w:szCs w:val="24"/>
        </w:rPr>
        <w:t xml:space="preserve"> </w:t>
      </w:r>
    </w:p>
    <w:p w:rsidR="000D506D" w:rsidRPr="00206A0D" w:rsidRDefault="000D506D" w:rsidP="00E75290">
      <w:pPr>
        <w:ind w:left="720" w:right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>A</w:t>
      </w:r>
      <w:r w:rsidR="001E4640">
        <w:rPr>
          <w:sz w:val="24"/>
          <w:szCs w:val="24"/>
        </w:rPr>
        <w:t>+</w:t>
      </w:r>
      <w:r w:rsidRPr="00206A0D">
        <w:rPr>
          <w:sz w:val="24"/>
          <w:szCs w:val="24"/>
        </w:rPr>
        <w:t xml:space="preserve"> Corporation (hereinafter </w:t>
      </w:r>
      <w:r w:rsidR="00FF3C0F">
        <w:rPr>
          <w:sz w:val="24"/>
          <w:szCs w:val="24"/>
        </w:rPr>
        <w:t>“</w:t>
      </w:r>
      <w:r w:rsidRPr="00206A0D">
        <w:rPr>
          <w:sz w:val="24"/>
          <w:szCs w:val="24"/>
        </w:rPr>
        <w:t>A+</w:t>
      </w:r>
      <w:r w:rsidR="00FF3C0F">
        <w:rPr>
          <w:sz w:val="24"/>
          <w:szCs w:val="24"/>
        </w:rPr>
        <w:t>” or the “Company”</w:t>
      </w:r>
      <w:r w:rsidRPr="00206A0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12E18">
        <w:rPr>
          <w:sz w:val="24"/>
          <w:szCs w:val="24"/>
        </w:rPr>
        <w:t xml:space="preserve">conducts background checks on behalf of companies, government agencies, and other organizations that have </w:t>
      </w:r>
      <w:r w:rsidR="00463435">
        <w:rPr>
          <w:sz w:val="24"/>
          <w:szCs w:val="24"/>
        </w:rPr>
        <w:t xml:space="preserve">chosen to </w:t>
      </w:r>
      <w:r w:rsidR="00512E18">
        <w:rPr>
          <w:sz w:val="24"/>
          <w:szCs w:val="24"/>
        </w:rPr>
        <w:t xml:space="preserve">outsource their pre-employment screening function, </w:t>
      </w:r>
      <w:r w:rsidR="00463435">
        <w:rPr>
          <w:sz w:val="24"/>
          <w:szCs w:val="24"/>
        </w:rPr>
        <w:t>and credit</w:t>
      </w:r>
      <w:r w:rsidR="00512E18">
        <w:rPr>
          <w:sz w:val="24"/>
          <w:szCs w:val="24"/>
        </w:rPr>
        <w:t xml:space="preserve"> </w:t>
      </w:r>
      <w:r w:rsidR="00463435">
        <w:rPr>
          <w:sz w:val="24"/>
          <w:szCs w:val="24"/>
        </w:rPr>
        <w:t xml:space="preserve">checks for Lessees and Landlords to assist with their evaluation of the financial fitness of prospective tenants and Lessees.  In this capacity, A+ </w:t>
      </w:r>
      <w:r w:rsidRPr="00206A0D">
        <w:rPr>
          <w:sz w:val="24"/>
          <w:szCs w:val="24"/>
        </w:rPr>
        <w:t xml:space="preserve">is entrusted with </w:t>
      </w:r>
      <w:r w:rsidR="00463435">
        <w:rPr>
          <w:sz w:val="24"/>
          <w:szCs w:val="24"/>
        </w:rPr>
        <w:t xml:space="preserve">highly </w:t>
      </w:r>
      <w:r w:rsidRPr="00206A0D">
        <w:rPr>
          <w:sz w:val="24"/>
          <w:szCs w:val="24"/>
        </w:rPr>
        <w:t xml:space="preserve">sensitive information. </w:t>
      </w:r>
      <w:r w:rsidR="00463435">
        <w:rPr>
          <w:sz w:val="24"/>
          <w:szCs w:val="24"/>
        </w:rPr>
        <w:t xml:space="preserve"> </w:t>
      </w:r>
      <w:r w:rsidR="00A65751" w:rsidRPr="00206A0D">
        <w:rPr>
          <w:sz w:val="24"/>
          <w:szCs w:val="24"/>
        </w:rPr>
        <w:t>A+ has spent a considerable amount of time</w:t>
      </w:r>
      <w:r w:rsidR="00A65751">
        <w:rPr>
          <w:sz w:val="24"/>
          <w:szCs w:val="24"/>
        </w:rPr>
        <w:t xml:space="preserve"> and </w:t>
      </w:r>
      <w:r w:rsidR="00A65751" w:rsidRPr="00206A0D">
        <w:rPr>
          <w:sz w:val="24"/>
          <w:szCs w:val="24"/>
        </w:rPr>
        <w:t>money</w:t>
      </w:r>
      <w:r w:rsidR="00A65751">
        <w:rPr>
          <w:sz w:val="24"/>
          <w:szCs w:val="24"/>
        </w:rPr>
        <w:t xml:space="preserve">, </w:t>
      </w:r>
      <w:r w:rsidR="00A65751" w:rsidRPr="00206A0D">
        <w:rPr>
          <w:sz w:val="24"/>
          <w:szCs w:val="24"/>
        </w:rPr>
        <w:t xml:space="preserve">and </w:t>
      </w:r>
      <w:r w:rsidR="00A65751">
        <w:rPr>
          <w:sz w:val="24"/>
          <w:szCs w:val="24"/>
        </w:rPr>
        <w:t xml:space="preserve">has devoted significant </w:t>
      </w:r>
      <w:r w:rsidR="00A65751" w:rsidRPr="00206A0D">
        <w:rPr>
          <w:sz w:val="24"/>
          <w:szCs w:val="24"/>
        </w:rPr>
        <w:t xml:space="preserve">resources </w:t>
      </w:r>
      <w:r w:rsidR="00A65751">
        <w:rPr>
          <w:sz w:val="24"/>
          <w:szCs w:val="24"/>
        </w:rPr>
        <w:t xml:space="preserve">towards developing solid </w:t>
      </w:r>
      <w:r w:rsidR="00A65751" w:rsidRPr="00206A0D">
        <w:rPr>
          <w:sz w:val="24"/>
          <w:szCs w:val="24"/>
        </w:rPr>
        <w:t xml:space="preserve">customer relationships and proprietary software </w:t>
      </w:r>
      <w:r w:rsidR="00A65751">
        <w:rPr>
          <w:sz w:val="24"/>
          <w:szCs w:val="24"/>
        </w:rPr>
        <w:t>to meet their needs</w:t>
      </w:r>
      <w:r w:rsidR="00A65751" w:rsidRPr="00206A0D">
        <w:rPr>
          <w:sz w:val="24"/>
          <w:szCs w:val="24"/>
        </w:rPr>
        <w:t>.</w:t>
      </w:r>
      <w:r w:rsidR="00A65751">
        <w:rPr>
          <w:sz w:val="24"/>
          <w:szCs w:val="24"/>
        </w:rPr>
        <w:t xml:space="preserve">  </w:t>
      </w:r>
      <w:r w:rsidRPr="00206A0D">
        <w:rPr>
          <w:sz w:val="24"/>
          <w:szCs w:val="24"/>
        </w:rPr>
        <w:t xml:space="preserve">The Fair Credit Reporting Act requires A+ to safeguard </w:t>
      </w:r>
      <w:r w:rsidR="00A65751">
        <w:rPr>
          <w:sz w:val="24"/>
          <w:szCs w:val="24"/>
        </w:rPr>
        <w:t xml:space="preserve">its customer’s confidential </w:t>
      </w:r>
      <w:r w:rsidRPr="00206A0D">
        <w:rPr>
          <w:sz w:val="24"/>
          <w:szCs w:val="24"/>
        </w:rPr>
        <w:t>information, a</w:t>
      </w:r>
      <w:r w:rsidR="00A65751">
        <w:rPr>
          <w:sz w:val="24"/>
          <w:szCs w:val="24"/>
        </w:rPr>
        <w:t xml:space="preserve">nd </w:t>
      </w:r>
      <w:r w:rsidR="00A65751" w:rsidRPr="00206A0D">
        <w:rPr>
          <w:sz w:val="24"/>
          <w:szCs w:val="24"/>
        </w:rPr>
        <w:t xml:space="preserve">imposes </w:t>
      </w:r>
      <w:r w:rsidRPr="00206A0D">
        <w:rPr>
          <w:sz w:val="24"/>
          <w:szCs w:val="24"/>
        </w:rPr>
        <w:t xml:space="preserve">severe penalties for divulging such information for unauthorized purposes.  </w:t>
      </w:r>
    </w:p>
    <w:p w:rsidR="00E75290" w:rsidRPr="00206A0D" w:rsidRDefault="00E75290" w:rsidP="00E75290">
      <w:pPr>
        <w:ind w:left="720" w:right="720"/>
        <w:rPr>
          <w:b/>
          <w:sz w:val="24"/>
          <w:szCs w:val="24"/>
        </w:rPr>
      </w:pPr>
    </w:p>
    <w:p w:rsidR="00780D28" w:rsidRPr="00206A0D" w:rsidRDefault="00780D28" w:rsidP="00E75290">
      <w:pPr>
        <w:ind w:left="720" w:right="720"/>
        <w:jc w:val="both"/>
        <w:rPr>
          <w:b/>
          <w:sz w:val="24"/>
          <w:szCs w:val="24"/>
        </w:rPr>
      </w:pPr>
      <w:r w:rsidRPr="00206A0D">
        <w:rPr>
          <w:b/>
          <w:sz w:val="24"/>
          <w:szCs w:val="24"/>
        </w:rPr>
        <w:t>Purpose:</w:t>
      </w:r>
    </w:p>
    <w:p w:rsidR="00E82437" w:rsidRPr="002D374A" w:rsidRDefault="00E82437" w:rsidP="00E75290">
      <w:pPr>
        <w:ind w:left="720" w:right="720"/>
        <w:jc w:val="both"/>
        <w:rPr>
          <w:rFonts w:cstheme="minorHAnsi"/>
          <w:color w:val="000000" w:themeColor="text1"/>
          <w:sz w:val="24"/>
          <w:szCs w:val="24"/>
        </w:rPr>
      </w:pPr>
      <w:r w:rsidRPr="002D374A">
        <w:rPr>
          <w:rFonts w:cstheme="minorHAnsi"/>
          <w:color w:val="000000" w:themeColor="text1"/>
          <w:sz w:val="24"/>
          <w:szCs w:val="24"/>
        </w:rPr>
        <w:t xml:space="preserve">The purpose of this </w:t>
      </w:r>
      <w:r w:rsidR="002B18F6" w:rsidRPr="002D374A">
        <w:rPr>
          <w:rFonts w:cstheme="minorHAnsi"/>
          <w:color w:val="000000" w:themeColor="text1"/>
          <w:sz w:val="24"/>
          <w:szCs w:val="24"/>
        </w:rPr>
        <w:t>P</w:t>
      </w:r>
      <w:r w:rsidRPr="002D374A">
        <w:rPr>
          <w:rFonts w:cstheme="minorHAnsi"/>
          <w:color w:val="000000" w:themeColor="text1"/>
          <w:sz w:val="24"/>
          <w:szCs w:val="24"/>
        </w:rPr>
        <w:t xml:space="preserve">olicy is to define the requirements for disposal of </w:t>
      </w:r>
      <w:r w:rsidR="00FF3C0F" w:rsidRPr="002D374A">
        <w:rPr>
          <w:rFonts w:cstheme="minorHAnsi"/>
          <w:color w:val="000000" w:themeColor="text1"/>
          <w:sz w:val="24"/>
          <w:szCs w:val="24"/>
        </w:rPr>
        <w:t xml:space="preserve">physical records and </w:t>
      </w:r>
      <w:r w:rsidR="000D506D" w:rsidRPr="002D374A">
        <w:rPr>
          <w:rFonts w:cstheme="minorHAnsi"/>
          <w:color w:val="000000" w:themeColor="text1"/>
          <w:sz w:val="24"/>
          <w:szCs w:val="24"/>
        </w:rPr>
        <w:t>Information T</w:t>
      </w:r>
      <w:r w:rsidRPr="002D374A">
        <w:rPr>
          <w:rFonts w:cstheme="minorHAnsi"/>
          <w:color w:val="000000" w:themeColor="text1"/>
          <w:sz w:val="24"/>
          <w:szCs w:val="24"/>
        </w:rPr>
        <w:t xml:space="preserve">echnology </w:t>
      </w:r>
      <w:r w:rsidR="000D506D" w:rsidRPr="002D374A">
        <w:rPr>
          <w:rFonts w:cstheme="minorHAnsi"/>
          <w:color w:val="000000" w:themeColor="text1"/>
          <w:sz w:val="24"/>
          <w:szCs w:val="24"/>
        </w:rPr>
        <w:t>Equipment</w:t>
      </w:r>
      <w:r w:rsidR="00FF3C0F" w:rsidRPr="002D374A">
        <w:rPr>
          <w:rFonts w:cstheme="minorHAnsi"/>
          <w:color w:val="000000" w:themeColor="text1"/>
          <w:sz w:val="24"/>
          <w:szCs w:val="24"/>
        </w:rPr>
        <w:t xml:space="preserve"> (hereinafter “ITE”</w:t>
      </w:r>
      <w:r w:rsidR="00634511">
        <w:rPr>
          <w:rFonts w:cstheme="minorHAnsi"/>
          <w:color w:val="000000" w:themeColor="text1"/>
          <w:sz w:val="24"/>
          <w:szCs w:val="24"/>
        </w:rPr>
        <w:t xml:space="preserve"> or “equipment”</w:t>
      </w:r>
      <w:r w:rsidR="00FF3C0F" w:rsidRPr="002D374A">
        <w:rPr>
          <w:rFonts w:cstheme="minorHAnsi"/>
          <w:color w:val="000000" w:themeColor="text1"/>
          <w:sz w:val="24"/>
          <w:szCs w:val="24"/>
        </w:rPr>
        <w:t>)</w:t>
      </w:r>
      <w:r w:rsidR="000D506D" w:rsidRPr="002D374A">
        <w:rPr>
          <w:rFonts w:cstheme="minorHAnsi"/>
          <w:color w:val="000000" w:themeColor="text1"/>
          <w:sz w:val="24"/>
          <w:szCs w:val="24"/>
        </w:rPr>
        <w:t xml:space="preserve"> </w:t>
      </w:r>
      <w:r w:rsidR="00463435" w:rsidRPr="002D374A">
        <w:rPr>
          <w:rFonts w:cstheme="minorHAnsi"/>
          <w:color w:val="000000" w:themeColor="text1"/>
          <w:sz w:val="24"/>
          <w:szCs w:val="24"/>
        </w:rPr>
        <w:t xml:space="preserve">that has been used to </w:t>
      </w:r>
      <w:r w:rsidR="00463435" w:rsidRPr="002D374A">
        <w:rPr>
          <w:rFonts w:cstheme="minorHAnsi"/>
          <w:color w:val="000000" w:themeColor="text1"/>
          <w:sz w:val="24"/>
          <w:szCs w:val="24"/>
          <w:lang w:val="en"/>
        </w:rPr>
        <w:t xml:space="preserve">collect, transfer, store or process private or restricted data </w:t>
      </w:r>
      <w:r w:rsidR="00FF3C0F" w:rsidRPr="002D374A">
        <w:rPr>
          <w:rFonts w:cstheme="minorHAnsi"/>
          <w:color w:val="000000" w:themeColor="text1"/>
          <w:sz w:val="24"/>
          <w:szCs w:val="24"/>
          <w:lang w:val="en"/>
        </w:rPr>
        <w:t xml:space="preserve">and </w:t>
      </w:r>
      <w:r w:rsidR="00463435" w:rsidRPr="002D374A">
        <w:rPr>
          <w:rFonts w:cstheme="minorHAnsi"/>
          <w:color w:val="000000" w:themeColor="text1"/>
          <w:sz w:val="24"/>
          <w:szCs w:val="24"/>
          <w:lang w:val="en"/>
        </w:rPr>
        <w:t xml:space="preserve">information </w:t>
      </w:r>
      <w:r w:rsidR="00FF3C0F" w:rsidRPr="002D374A">
        <w:rPr>
          <w:rFonts w:cstheme="minorHAnsi"/>
          <w:color w:val="000000" w:themeColor="text1"/>
          <w:sz w:val="24"/>
          <w:szCs w:val="24"/>
          <w:lang w:val="en"/>
        </w:rPr>
        <w:t xml:space="preserve">as defined by the </w:t>
      </w:r>
      <w:r w:rsidR="00A65751" w:rsidRPr="002D374A">
        <w:rPr>
          <w:rFonts w:cstheme="minorHAnsi"/>
          <w:color w:val="000000" w:themeColor="text1"/>
          <w:sz w:val="24"/>
          <w:szCs w:val="24"/>
          <w:lang w:val="en"/>
        </w:rPr>
        <w:t xml:space="preserve">Company’s </w:t>
      </w:r>
      <w:r w:rsidR="00FF3C0F" w:rsidRPr="002D374A">
        <w:rPr>
          <w:rFonts w:cstheme="minorHAnsi"/>
          <w:color w:val="000000" w:themeColor="text1"/>
          <w:sz w:val="24"/>
          <w:szCs w:val="24"/>
        </w:rPr>
        <w:t>Data Classification Policy</w:t>
      </w:r>
      <w:r w:rsidR="00BF5ED0">
        <w:rPr>
          <w:rFonts w:cstheme="minorHAnsi"/>
          <w:color w:val="000000" w:themeColor="text1"/>
          <w:sz w:val="24"/>
          <w:szCs w:val="24"/>
        </w:rPr>
        <w:t xml:space="preserve"> (also see </w:t>
      </w:r>
      <w:r w:rsidR="00BF5ED0" w:rsidRPr="00BF5ED0">
        <w:rPr>
          <w:rFonts w:cstheme="minorHAnsi"/>
          <w:b/>
          <w:color w:val="000000" w:themeColor="text1"/>
          <w:sz w:val="24"/>
          <w:szCs w:val="24"/>
        </w:rPr>
        <w:t>Appendix A</w:t>
      </w:r>
      <w:r w:rsidR="00BF5ED0">
        <w:rPr>
          <w:rFonts w:cstheme="minorHAnsi"/>
          <w:color w:val="000000" w:themeColor="text1"/>
          <w:sz w:val="24"/>
          <w:szCs w:val="24"/>
        </w:rPr>
        <w:t>)</w:t>
      </w:r>
      <w:r w:rsidR="00FF3C0F" w:rsidRPr="002D374A">
        <w:rPr>
          <w:rFonts w:cstheme="minorHAnsi"/>
          <w:color w:val="000000" w:themeColor="text1"/>
          <w:sz w:val="24"/>
          <w:szCs w:val="24"/>
        </w:rPr>
        <w:t xml:space="preserve">.  </w:t>
      </w:r>
      <w:r w:rsidR="002B18F6" w:rsidRPr="002D374A">
        <w:rPr>
          <w:rFonts w:cstheme="minorHAnsi"/>
          <w:color w:val="000000" w:themeColor="text1"/>
          <w:sz w:val="24"/>
          <w:szCs w:val="24"/>
        </w:rPr>
        <w:t xml:space="preserve">Effective </w:t>
      </w:r>
      <w:r w:rsidR="005D6D54" w:rsidRPr="002D374A">
        <w:rPr>
          <w:rFonts w:cstheme="minorHAnsi"/>
          <w:color w:val="000000" w:themeColor="text1"/>
          <w:sz w:val="24"/>
          <w:szCs w:val="24"/>
        </w:rPr>
        <w:t xml:space="preserve">destruction practices </w:t>
      </w:r>
      <w:r w:rsidR="00FF3C0F" w:rsidRPr="002D374A">
        <w:rPr>
          <w:rFonts w:cstheme="minorHAnsi"/>
          <w:color w:val="000000" w:themeColor="text1"/>
          <w:sz w:val="24"/>
          <w:szCs w:val="24"/>
        </w:rPr>
        <w:t>will better enable</w:t>
      </w:r>
      <w:r w:rsidR="005D6D54" w:rsidRPr="002D374A">
        <w:rPr>
          <w:rFonts w:cstheme="minorHAnsi"/>
          <w:color w:val="000000" w:themeColor="text1"/>
          <w:sz w:val="24"/>
          <w:szCs w:val="24"/>
        </w:rPr>
        <w:t xml:space="preserve"> </w:t>
      </w:r>
      <w:r w:rsidR="00A92E35" w:rsidRPr="002D374A">
        <w:rPr>
          <w:rFonts w:cstheme="minorHAnsi"/>
          <w:color w:val="000000" w:themeColor="text1"/>
          <w:sz w:val="24"/>
          <w:szCs w:val="24"/>
        </w:rPr>
        <w:t>A+</w:t>
      </w:r>
      <w:r w:rsidR="005D6D54" w:rsidRPr="002D374A">
        <w:rPr>
          <w:rFonts w:cstheme="minorHAnsi"/>
          <w:color w:val="000000" w:themeColor="text1"/>
          <w:sz w:val="24"/>
          <w:szCs w:val="24"/>
        </w:rPr>
        <w:t xml:space="preserve"> to protect </w:t>
      </w:r>
      <w:r w:rsidR="00FF3C0F" w:rsidRPr="002D374A">
        <w:rPr>
          <w:rFonts w:cstheme="minorHAnsi"/>
          <w:color w:val="000000" w:themeColor="text1"/>
          <w:sz w:val="24"/>
          <w:szCs w:val="24"/>
        </w:rPr>
        <w:t>the C</w:t>
      </w:r>
      <w:r w:rsidR="005D6D54" w:rsidRPr="002D374A">
        <w:rPr>
          <w:rFonts w:cstheme="minorHAnsi"/>
          <w:color w:val="000000" w:themeColor="text1"/>
          <w:sz w:val="24"/>
          <w:szCs w:val="24"/>
        </w:rPr>
        <w:t xml:space="preserve">ompany </w:t>
      </w:r>
      <w:r w:rsidR="00243E24">
        <w:rPr>
          <w:rFonts w:cstheme="minorHAnsi"/>
          <w:color w:val="000000" w:themeColor="text1"/>
          <w:sz w:val="24"/>
          <w:szCs w:val="24"/>
        </w:rPr>
        <w:t xml:space="preserve">and </w:t>
      </w:r>
      <w:r w:rsidR="00FF3C0F" w:rsidRPr="002D374A">
        <w:rPr>
          <w:rFonts w:cstheme="minorHAnsi"/>
          <w:color w:val="000000" w:themeColor="text1"/>
          <w:sz w:val="24"/>
          <w:szCs w:val="24"/>
        </w:rPr>
        <w:t xml:space="preserve">its customers’ information </w:t>
      </w:r>
      <w:r w:rsidR="005D6D54" w:rsidRPr="002D374A">
        <w:rPr>
          <w:rFonts w:cstheme="minorHAnsi"/>
          <w:color w:val="000000" w:themeColor="text1"/>
          <w:sz w:val="24"/>
          <w:szCs w:val="24"/>
        </w:rPr>
        <w:t xml:space="preserve">assets </w:t>
      </w:r>
      <w:r w:rsidR="00FF3C0F" w:rsidRPr="002D374A">
        <w:rPr>
          <w:rFonts w:cstheme="minorHAnsi"/>
          <w:color w:val="000000" w:themeColor="text1"/>
          <w:sz w:val="24"/>
          <w:szCs w:val="24"/>
        </w:rPr>
        <w:t xml:space="preserve">from </w:t>
      </w:r>
      <w:r w:rsidR="00FF3C0F" w:rsidRPr="002D374A">
        <w:rPr>
          <w:rFonts w:cstheme="minorHAnsi"/>
          <w:color w:val="000000" w:themeColor="text1"/>
          <w:sz w:val="24"/>
          <w:szCs w:val="24"/>
          <w:lang w:val="en"/>
        </w:rPr>
        <w:t>unauthorized access, use</w:t>
      </w:r>
      <w:r w:rsidR="00E75290" w:rsidRPr="002D374A">
        <w:rPr>
          <w:rFonts w:cstheme="minorHAnsi"/>
          <w:color w:val="000000" w:themeColor="text1"/>
          <w:sz w:val="24"/>
          <w:szCs w:val="24"/>
          <w:lang w:val="en"/>
        </w:rPr>
        <w:t xml:space="preserve"> and </w:t>
      </w:r>
      <w:r w:rsidR="00FF3C0F" w:rsidRPr="002D374A">
        <w:rPr>
          <w:rFonts w:cstheme="minorHAnsi"/>
          <w:color w:val="000000" w:themeColor="text1"/>
          <w:sz w:val="24"/>
          <w:szCs w:val="24"/>
          <w:lang w:val="en"/>
        </w:rPr>
        <w:t>disclosure.</w:t>
      </w:r>
      <w:r w:rsidR="00FF3C0F" w:rsidRPr="002D374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F3C0F" w:rsidRDefault="00FF3C0F" w:rsidP="00E75290">
      <w:pPr>
        <w:ind w:left="720" w:right="720"/>
        <w:jc w:val="both"/>
        <w:rPr>
          <w:b/>
          <w:sz w:val="24"/>
          <w:szCs w:val="24"/>
        </w:rPr>
      </w:pPr>
    </w:p>
    <w:p w:rsidR="00780D28" w:rsidRPr="00206A0D" w:rsidRDefault="00780D28" w:rsidP="00E75290">
      <w:pPr>
        <w:ind w:left="720" w:right="720"/>
        <w:jc w:val="both"/>
        <w:rPr>
          <w:b/>
          <w:sz w:val="24"/>
          <w:szCs w:val="24"/>
        </w:rPr>
      </w:pPr>
      <w:r w:rsidRPr="00206A0D">
        <w:rPr>
          <w:b/>
          <w:sz w:val="24"/>
          <w:szCs w:val="24"/>
        </w:rPr>
        <w:t>Scope:</w:t>
      </w:r>
    </w:p>
    <w:p w:rsidR="002B18F6" w:rsidRPr="00206A0D" w:rsidRDefault="00E82437" w:rsidP="00E75290">
      <w:pPr>
        <w:ind w:left="720" w:right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>Th</w:t>
      </w:r>
      <w:r w:rsidR="001B015B" w:rsidRPr="00206A0D">
        <w:rPr>
          <w:sz w:val="24"/>
          <w:szCs w:val="24"/>
        </w:rPr>
        <w:t>e</w:t>
      </w:r>
      <w:r w:rsidRPr="00206A0D">
        <w:rPr>
          <w:sz w:val="24"/>
          <w:szCs w:val="24"/>
        </w:rPr>
        <w:t xml:space="preserve"> </w:t>
      </w:r>
      <w:r w:rsidR="001B015B" w:rsidRPr="00206A0D">
        <w:rPr>
          <w:sz w:val="24"/>
          <w:szCs w:val="24"/>
        </w:rPr>
        <w:t>Data Destruction Policy</w:t>
      </w:r>
      <w:r w:rsidRPr="00206A0D">
        <w:rPr>
          <w:sz w:val="24"/>
          <w:szCs w:val="24"/>
        </w:rPr>
        <w:t xml:space="preserve"> applies to</w:t>
      </w:r>
      <w:r w:rsidR="00293E30" w:rsidRPr="00206A0D">
        <w:rPr>
          <w:sz w:val="24"/>
          <w:szCs w:val="24"/>
        </w:rPr>
        <w:t xml:space="preserve"> all</w:t>
      </w:r>
      <w:r w:rsidRPr="00206A0D">
        <w:rPr>
          <w:sz w:val="24"/>
          <w:szCs w:val="24"/>
        </w:rPr>
        <w:t xml:space="preserve"> </w:t>
      </w:r>
      <w:r w:rsidR="00A65751">
        <w:rPr>
          <w:sz w:val="24"/>
          <w:szCs w:val="24"/>
        </w:rPr>
        <w:t xml:space="preserve">ITE </w:t>
      </w:r>
      <w:r w:rsidR="00891EF6" w:rsidRPr="00206A0D">
        <w:rPr>
          <w:sz w:val="24"/>
          <w:szCs w:val="24"/>
        </w:rPr>
        <w:t xml:space="preserve">that is owned or leased </w:t>
      </w:r>
      <w:r w:rsidR="00B53910" w:rsidRPr="00206A0D">
        <w:rPr>
          <w:sz w:val="24"/>
          <w:szCs w:val="24"/>
        </w:rPr>
        <w:t>by A+</w:t>
      </w:r>
      <w:r w:rsidR="00293E30" w:rsidRPr="00206A0D">
        <w:rPr>
          <w:sz w:val="24"/>
          <w:szCs w:val="24"/>
        </w:rPr>
        <w:t xml:space="preserve"> </w:t>
      </w:r>
      <w:r w:rsidR="00B53910" w:rsidRPr="00206A0D">
        <w:rPr>
          <w:sz w:val="24"/>
          <w:szCs w:val="24"/>
        </w:rPr>
        <w:t xml:space="preserve">that is </w:t>
      </w:r>
      <w:r w:rsidR="00293E30" w:rsidRPr="00206A0D">
        <w:rPr>
          <w:sz w:val="24"/>
          <w:szCs w:val="24"/>
        </w:rPr>
        <w:t>no longer</w:t>
      </w:r>
      <w:r w:rsidR="00B53910" w:rsidRPr="00206A0D">
        <w:rPr>
          <w:sz w:val="24"/>
          <w:szCs w:val="24"/>
        </w:rPr>
        <w:t xml:space="preserve"> supported by </w:t>
      </w:r>
      <w:r w:rsidR="00891EF6" w:rsidRPr="00206A0D">
        <w:rPr>
          <w:sz w:val="24"/>
          <w:szCs w:val="24"/>
        </w:rPr>
        <w:t xml:space="preserve">the </w:t>
      </w:r>
      <w:r w:rsidR="00B53910" w:rsidRPr="00206A0D">
        <w:rPr>
          <w:sz w:val="24"/>
          <w:szCs w:val="24"/>
        </w:rPr>
        <w:t xml:space="preserve">vendor or </w:t>
      </w:r>
      <w:r w:rsidR="00891EF6" w:rsidRPr="00206A0D">
        <w:rPr>
          <w:sz w:val="24"/>
          <w:szCs w:val="24"/>
        </w:rPr>
        <w:t>reusable</w:t>
      </w:r>
      <w:r w:rsidRPr="00206A0D">
        <w:rPr>
          <w:sz w:val="24"/>
          <w:szCs w:val="24"/>
        </w:rPr>
        <w:t xml:space="preserve">. </w:t>
      </w:r>
      <w:r w:rsidR="001B015B" w:rsidRPr="00206A0D">
        <w:rPr>
          <w:sz w:val="24"/>
          <w:szCs w:val="24"/>
        </w:rPr>
        <w:t xml:space="preserve">  </w:t>
      </w:r>
      <w:r w:rsidR="00CB575D" w:rsidRPr="00A65751">
        <w:rPr>
          <w:color w:val="000000" w:themeColor="text1"/>
          <w:sz w:val="24"/>
          <w:szCs w:val="24"/>
        </w:rPr>
        <w:t xml:space="preserve">Examples of </w:t>
      </w:r>
      <w:r w:rsidR="00A65751" w:rsidRPr="00A65751">
        <w:rPr>
          <w:color w:val="000000" w:themeColor="text1"/>
          <w:sz w:val="24"/>
          <w:szCs w:val="24"/>
        </w:rPr>
        <w:t xml:space="preserve">ITE </w:t>
      </w:r>
      <w:r w:rsidR="00723DF6" w:rsidRPr="00A65751">
        <w:rPr>
          <w:color w:val="000000" w:themeColor="text1"/>
          <w:sz w:val="24"/>
          <w:szCs w:val="24"/>
        </w:rPr>
        <w:t>includes</w:t>
      </w:r>
      <w:r w:rsidR="00316073" w:rsidRPr="00A65751">
        <w:rPr>
          <w:color w:val="000000" w:themeColor="text1"/>
          <w:sz w:val="24"/>
          <w:szCs w:val="24"/>
        </w:rPr>
        <w:t xml:space="preserve">, but </w:t>
      </w:r>
      <w:r w:rsidR="00A65751" w:rsidRPr="00A65751">
        <w:rPr>
          <w:color w:val="000000" w:themeColor="text1"/>
          <w:sz w:val="24"/>
          <w:szCs w:val="24"/>
        </w:rPr>
        <w:t xml:space="preserve">is </w:t>
      </w:r>
      <w:r w:rsidR="00316073" w:rsidRPr="00A65751">
        <w:rPr>
          <w:color w:val="000000" w:themeColor="text1"/>
          <w:sz w:val="24"/>
          <w:szCs w:val="24"/>
        </w:rPr>
        <w:t xml:space="preserve">not limited </w:t>
      </w:r>
      <w:r w:rsidR="00DD6789" w:rsidRPr="00A65751">
        <w:rPr>
          <w:color w:val="000000" w:themeColor="text1"/>
          <w:sz w:val="24"/>
          <w:szCs w:val="24"/>
        </w:rPr>
        <w:t>to</w:t>
      </w:r>
      <w:r w:rsidR="00A65751" w:rsidRPr="00A65751">
        <w:rPr>
          <w:color w:val="000000" w:themeColor="text1"/>
          <w:sz w:val="24"/>
          <w:szCs w:val="24"/>
        </w:rPr>
        <w:t xml:space="preserve"> </w:t>
      </w:r>
      <w:r w:rsidR="00723DF6" w:rsidRPr="00A65751">
        <w:rPr>
          <w:color w:val="000000" w:themeColor="text1"/>
          <w:sz w:val="24"/>
          <w:szCs w:val="24"/>
        </w:rPr>
        <w:t xml:space="preserve">hard </w:t>
      </w:r>
      <w:r w:rsidR="00723DF6" w:rsidRPr="00206A0D">
        <w:rPr>
          <w:sz w:val="24"/>
          <w:szCs w:val="24"/>
        </w:rPr>
        <w:t>drive</w:t>
      </w:r>
      <w:r w:rsidR="007E5E90" w:rsidRPr="00206A0D">
        <w:rPr>
          <w:sz w:val="24"/>
          <w:szCs w:val="24"/>
        </w:rPr>
        <w:t>s</w:t>
      </w:r>
      <w:r w:rsidR="00723DF6" w:rsidRPr="00206A0D">
        <w:rPr>
          <w:sz w:val="24"/>
          <w:szCs w:val="24"/>
        </w:rPr>
        <w:t xml:space="preserve">, RAM, removable storage devices, back-up tapes, </w:t>
      </w:r>
      <w:r w:rsidR="002D374A">
        <w:rPr>
          <w:sz w:val="24"/>
          <w:szCs w:val="24"/>
        </w:rPr>
        <w:t>and printer/scanner/copy/facsimile machines (hereinafter “printers”).</w:t>
      </w:r>
      <w:r w:rsidR="00A21904">
        <w:rPr>
          <w:sz w:val="24"/>
          <w:szCs w:val="24"/>
        </w:rPr>
        <w:t xml:space="preserve"> </w:t>
      </w:r>
      <w:r w:rsidR="00A65751">
        <w:rPr>
          <w:sz w:val="24"/>
          <w:szCs w:val="24"/>
        </w:rPr>
        <w:t xml:space="preserve"> The Policy also applies to physical records </w:t>
      </w:r>
      <w:r w:rsidR="0056542F" w:rsidRPr="00206A0D">
        <w:rPr>
          <w:sz w:val="24"/>
          <w:szCs w:val="24"/>
        </w:rPr>
        <w:t>that contain</w:t>
      </w:r>
      <w:r w:rsidR="00A65751">
        <w:rPr>
          <w:sz w:val="24"/>
          <w:szCs w:val="24"/>
        </w:rPr>
        <w:t xml:space="preserve"> non-public C</w:t>
      </w:r>
      <w:r w:rsidR="0056542F" w:rsidRPr="00206A0D">
        <w:rPr>
          <w:sz w:val="24"/>
          <w:szCs w:val="24"/>
        </w:rPr>
        <w:t>ompany, employee</w:t>
      </w:r>
      <w:r w:rsidR="00494468" w:rsidRPr="00206A0D">
        <w:rPr>
          <w:sz w:val="24"/>
          <w:szCs w:val="24"/>
        </w:rPr>
        <w:t>,</w:t>
      </w:r>
      <w:r w:rsidR="0056542F" w:rsidRPr="00206A0D">
        <w:rPr>
          <w:sz w:val="24"/>
          <w:szCs w:val="24"/>
        </w:rPr>
        <w:t xml:space="preserve"> or customer information.</w:t>
      </w:r>
      <w:r w:rsidR="00634511">
        <w:rPr>
          <w:sz w:val="24"/>
          <w:szCs w:val="24"/>
        </w:rPr>
        <w:t xml:space="preserve">  Physical records </w:t>
      </w:r>
      <w:r w:rsidR="00634511" w:rsidRPr="00243E24">
        <w:rPr>
          <w:sz w:val="24"/>
          <w:szCs w:val="24"/>
          <w:u w:val="single"/>
        </w:rPr>
        <w:t>that contain pub</w:t>
      </w:r>
      <w:r w:rsidR="00243E24" w:rsidRPr="00243E24">
        <w:rPr>
          <w:sz w:val="24"/>
          <w:szCs w:val="24"/>
          <w:u w:val="single"/>
        </w:rPr>
        <w:t>l</w:t>
      </w:r>
      <w:r w:rsidR="00634511" w:rsidRPr="00243E24">
        <w:rPr>
          <w:sz w:val="24"/>
          <w:szCs w:val="24"/>
          <w:u w:val="single"/>
        </w:rPr>
        <w:t>ic information only</w:t>
      </w:r>
      <w:r w:rsidR="00634511">
        <w:rPr>
          <w:sz w:val="24"/>
          <w:szCs w:val="24"/>
        </w:rPr>
        <w:t xml:space="preserve"> are not within the scope of this Policy.  </w:t>
      </w:r>
      <w:r w:rsidR="002B18F6" w:rsidRPr="00206A0D">
        <w:rPr>
          <w:sz w:val="24"/>
          <w:szCs w:val="24"/>
        </w:rPr>
        <w:t xml:space="preserve"> </w:t>
      </w:r>
    </w:p>
    <w:p w:rsidR="002B18F6" w:rsidRPr="00206A0D" w:rsidRDefault="002B18F6" w:rsidP="00E75290">
      <w:pPr>
        <w:ind w:left="720" w:right="720"/>
        <w:jc w:val="both"/>
        <w:rPr>
          <w:sz w:val="24"/>
          <w:szCs w:val="24"/>
        </w:rPr>
      </w:pPr>
    </w:p>
    <w:p w:rsidR="007E5E90" w:rsidRPr="00206A0D" w:rsidRDefault="001B015B" w:rsidP="00E75290">
      <w:pPr>
        <w:ind w:left="720" w:right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 xml:space="preserve">All </w:t>
      </w:r>
      <w:r w:rsidR="00E82437" w:rsidRPr="00206A0D">
        <w:rPr>
          <w:sz w:val="24"/>
          <w:szCs w:val="24"/>
        </w:rPr>
        <w:t>employees</w:t>
      </w:r>
      <w:r w:rsidR="00891EF6" w:rsidRPr="00206A0D">
        <w:rPr>
          <w:sz w:val="24"/>
          <w:szCs w:val="24"/>
        </w:rPr>
        <w:t xml:space="preserve">, contractors, vendors and other affiliates that handle A+ electronic information </w:t>
      </w:r>
      <w:r w:rsidRPr="00206A0D">
        <w:rPr>
          <w:sz w:val="24"/>
          <w:szCs w:val="24"/>
        </w:rPr>
        <w:t xml:space="preserve">are required to </w:t>
      </w:r>
      <w:r w:rsidR="00E82437" w:rsidRPr="00206A0D">
        <w:rPr>
          <w:sz w:val="24"/>
          <w:szCs w:val="24"/>
        </w:rPr>
        <w:t xml:space="preserve">comply with this </w:t>
      </w:r>
      <w:r w:rsidR="002B18F6" w:rsidRPr="00206A0D">
        <w:rPr>
          <w:sz w:val="24"/>
          <w:szCs w:val="24"/>
        </w:rPr>
        <w:t>P</w:t>
      </w:r>
      <w:r w:rsidR="00E82437" w:rsidRPr="00206A0D">
        <w:rPr>
          <w:sz w:val="24"/>
          <w:szCs w:val="24"/>
        </w:rPr>
        <w:t>olicy.</w:t>
      </w:r>
      <w:r w:rsidR="002B18F6" w:rsidRPr="00206A0D">
        <w:rPr>
          <w:sz w:val="24"/>
          <w:szCs w:val="24"/>
        </w:rPr>
        <w:t xml:space="preserve">  Third party Service Level Agreements shall also be in compliance and aligned with the standard information and best practices dictated by this Policy</w:t>
      </w:r>
      <w:r w:rsidR="007E5E90" w:rsidRPr="00206A0D">
        <w:rPr>
          <w:sz w:val="24"/>
          <w:szCs w:val="24"/>
        </w:rPr>
        <w:t>.</w:t>
      </w:r>
    </w:p>
    <w:p w:rsidR="007E5E90" w:rsidRDefault="007E5E90" w:rsidP="00E75290">
      <w:pPr>
        <w:ind w:left="720" w:right="720"/>
        <w:jc w:val="both"/>
        <w:rPr>
          <w:sz w:val="24"/>
          <w:szCs w:val="24"/>
        </w:rPr>
      </w:pPr>
    </w:p>
    <w:p w:rsidR="00BF5ED0" w:rsidRDefault="00BF5ED0" w:rsidP="00AF0E3A">
      <w:pPr>
        <w:ind w:firstLine="720"/>
        <w:jc w:val="both"/>
        <w:rPr>
          <w:b/>
          <w:sz w:val="24"/>
          <w:szCs w:val="24"/>
        </w:rPr>
      </w:pPr>
      <w:r w:rsidRPr="00206A0D">
        <w:rPr>
          <w:b/>
          <w:sz w:val="24"/>
          <w:szCs w:val="24"/>
        </w:rPr>
        <w:t>Roles and Responsibilities:</w:t>
      </w:r>
    </w:p>
    <w:p w:rsidR="00BF5ED0" w:rsidRPr="00BF5ED0" w:rsidRDefault="00BF5ED0" w:rsidP="00AF0E3A">
      <w:pPr>
        <w:ind w:left="720" w:right="720"/>
        <w:jc w:val="both"/>
        <w:rPr>
          <w:sz w:val="24"/>
          <w:szCs w:val="24"/>
        </w:rPr>
      </w:pPr>
      <w:r w:rsidRPr="00BF5ED0">
        <w:rPr>
          <w:sz w:val="24"/>
          <w:szCs w:val="24"/>
        </w:rPr>
        <w:t xml:space="preserve">The </w:t>
      </w:r>
      <w:r w:rsidRPr="00BF5ED0">
        <w:rPr>
          <w:color w:val="000000" w:themeColor="text1"/>
          <w:sz w:val="24"/>
          <w:szCs w:val="24"/>
        </w:rPr>
        <w:t xml:space="preserve">Vice President of IT and Chief Information Officer is responsible for </w:t>
      </w:r>
      <w:r>
        <w:rPr>
          <w:color w:val="000000" w:themeColor="text1"/>
          <w:sz w:val="24"/>
          <w:szCs w:val="24"/>
        </w:rPr>
        <w:t xml:space="preserve">approving this Policy and all subsequent revisions as </w:t>
      </w:r>
      <w:r w:rsidR="00AF0E3A">
        <w:rPr>
          <w:color w:val="000000" w:themeColor="text1"/>
          <w:sz w:val="24"/>
          <w:szCs w:val="24"/>
        </w:rPr>
        <w:t xml:space="preserve">are </w:t>
      </w:r>
      <w:r>
        <w:rPr>
          <w:color w:val="000000" w:themeColor="text1"/>
          <w:sz w:val="24"/>
          <w:szCs w:val="24"/>
        </w:rPr>
        <w:t>required and</w:t>
      </w:r>
      <w:r w:rsidR="00AF0E3A">
        <w:rPr>
          <w:color w:val="000000" w:themeColor="text1"/>
          <w:sz w:val="24"/>
          <w:szCs w:val="24"/>
        </w:rPr>
        <w:t xml:space="preserve">/or </w:t>
      </w:r>
      <w:r>
        <w:rPr>
          <w:color w:val="000000" w:themeColor="text1"/>
          <w:sz w:val="24"/>
          <w:szCs w:val="24"/>
        </w:rPr>
        <w:t xml:space="preserve">recommended by the Director of IT Security.  Management is responsible for ensuring employees are properly trained on and that they comply with this Policy.  </w:t>
      </w:r>
      <w:r w:rsidR="00AF0E3A">
        <w:rPr>
          <w:color w:val="000000" w:themeColor="text1"/>
          <w:sz w:val="24"/>
          <w:szCs w:val="24"/>
        </w:rPr>
        <w:t xml:space="preserve">IT Operations is responsible for disposing of unusable equipment in accordance with this Policy.  </w:t>
      </w:r>
      <w:r>
        <w:rPr>
          <w:color w:val="000000" w:themeColor="text1"/>
          <w:sz w:val="24"/>
          <w:szCs w:val="24"/>
        </w:rPr>
        <w:t>IT Audit wil</w:t>
      </w:r>
      <w:r w:rsidR="00AF0E3A">
        <w:rPr>
          <w:color w:val="000000" w:themeColor="text1"/>
          <w:sz w:val="24"/>
          <w:szCs w:val="24"/>
        </w:rPr>
        <w:t xml:space="preserve">l monitor compliance and report Policy infractions to the Chief Compliance Officer.  All employees, contractors and affiliates are required to comply with this Policy. </w:t>
      </w:r>
      <w:r>
        <w:rPr>
          <w:color w:val="000000" w:themeColor="text1"/>
          <w:sz w:val="24"/>
          <w:szCs w:val="24"/>
        </w:rPr>
        <w:t xml:space="preserve">   </w:t>
      </w:r>
    </w:p>
    <w:p w:rsidR="00780D28" w:rsidRPr="00206A0D" w:rsidRDefault="00780D28" w:rsidP="00243E24">
      <w:pPr>
        <w:ind w:left="720" w:right="720"/>
        <w:jc w:val="both"/>
        <w:rPr>
          <w:b/>
          <w:sz w:val="24"/>
          <w:szCs w:val="24"/>
        </w:rPr>
      </w:pPr>
      <w:r w:rsidRPr="00206A0D">
        <w:rPr>
          <w:b/>
          <w:sz w:val="24"/>
          <w:szCs w:val="24"/>
        </w:rPr>
        <w:lastRenderedPageBreak/>
        <w:t>Policy:</w:t>
      </w:r>
    </w:p>
    <w:p w:rsidR="00E75290" w:rsidRPr="00FF3C0F" w:rsidRDefault="00A92E35" w:rsidP="00243E24">
      <w:pPr>
        <w:ind w:left="720" w:right="720"/>
        <w:jc w:val="both"/>
        <w:rPr>
          <w:rFonts w:cstheme="minorHAnsi"/>
          <w:sz w:val="24"/>
          <w:szCs w:val="24"/>
        </w:rPr>
      </w:pPr>
      <w:r w:rsidRPr="00206A0D">
        <w:rPr>
          <w:sz w:val="24"/>
          <w:szCs w:val="24"/>
        </w:rPr>
        <w:t>A+</w:t>
      </w:r>
      <w:r w:rsidR="00AC4700" w:rsidRPr="00206A0D">
        <w:rPr>
          <w:sz w:val="24"/>
          <w:szCs w:val="24"/>
        </w:rPr>
        <w:t xml:space="preserve"> </w:t>
      </w:r>
      <w:r w:rsidR="00CF20B4" w:rsidRPr="00206A0D">
        <w:rPr>
          <w:sz w:val="24"/>
          <w:szCs w:val="24"/>
        </w:rPr>
        <w:t>shall</w:t>
      </w:r>
      <w:r w:rsidR="00AC4700" w:rsidRPr="00206A0D">
        <w:rPr>
          <w:sz w:val="24"/>
          <w:szCs w:val="24"/>
        </w:rPr>
        <w:t xml:space="preserve"> </w:t>
      </w:r>
      <w:r w:rsidRPr="00206A0D">
        <w:rPr>
          <w:sz w:val="24"/>
          <w:szCs w:val="24"/>
        </w:rPr>
        <w:t>dispos</w:t>
      </w:r>
      <w:r w:rsidR="00E75290">
        <w:rPr>
          <w:sz w:val="24"/>
          <w:szCs w:val="24"/>
        </w:rPr>
        <w:t>e of private and</w:t>
      </w:r>
      <w:r w:rsidR="00AC4700" w:rsidRPr="00206A0D">
        <w:rPr>
          <w:sz w:val="24"/>
          <w:szCs w:val="24"/>
        </w:rPr>
        <w:t xml:space="preserve"> restricted </w:t>
      </w:r>
      <w:r w:rsidR="00E75290">
        <w:rPr>
          <w:sz w:val="24"/>
          <w:szCs w:val="24"/>
        </w:rPr>
        <w:t xml:space="preserve">Company, employee and customer </w:t>
      </w:r>
      <w:r w:rsidR="00AC4700" w:rsidRPr="00206A0D">
        <w:rPr>
          <w:sz w:val="24"/>
          <w:szCs w:val="24"/>
        </w:rPr>
        <w:t>information</w:t>
      </w:r>
      <w:r w:rsidRPr="00206A0D">
        <w:rPr>
          <w:sz w:val="24"/>
          <w:szCs w:val="24"/>
        </w:rPr>
        <w:t xml:space="preserve"> </w:t>
      </w:r>
      <w:r w:rsidR="00E75290">
        <w:rPr>
          <w:sz w:val="24"/>
          <w:szCs w:val="24"/>
        </w:rPr>
        <w:t xml:space="preserve">and data in a manner that prevents unauthorized </w:t>
      </w:r>
      <w:r w:rsidR="00E75290" w:rsidRPr="00FF3C0F">
        <w:rPr>
          <w:rFonts w:cstheme="minorHAnsi"/>
          <w:sz w:val="24"/>
          <w:szCs w:val="24"/>
          <w:lang w:val="en"/>
        </w:rPr>
        <w:t>access, use</w:t>
      </w:r>
      <w:r w:rsidR="00E75290">
        <w:rPr>
          <w:rFonts w:cstheme="minorHAnsi"/>
          <w:sz w:val="24"/>
          <w:szCs w:val="24"/>
          <w:lang w:val="en"/>
        </w:rPr>
        <w:t xml:space="preserve"> or </w:t>
      </w:r>
      <w:r w:rsidR="00E75290" w:rsidRPr="00FF3C0F">
        <w:rPr>
          <w:rFonts w:cstheme="minorHAnsi"/>
          <w:sz w:val="24"/>
          <w:szCs w:val="24"/>
          <w:lang w:val="en"/>
        </w:rPr>
        <w:t>disclosure</w:t>
      </w:r>
      <w:r w:rsidR="00E75290">
        <w:rPr>
          <w:rFonts w:cstheme="minorHAnsi"/>
          <w:sz w:val="24"/>
          <w:szCs w:val="24"/>
          <w:lang w:val="en"/>
        </w:rPr>
        <w:t>.</w:t>
      </w:r>
      <w:r w:rsidR="00E75290" w:rsidRPr="00FF3C0F">
        <w:rPr>
          <w:rFonts w:cstheme="minorHAnsi"/>
          <w:sz w:val="24"/>
          <w:szCs w:val="24"/>
        </w:rPr>
        <w:t xml:space="preserve"> </w:t>
      </w:r>
    </w:p>
    <w:p w:rsidR="00A92E35" w:rsidRPr="00206A0D" w:rsidRDefault="00A92E35" w:rsidP="00243E24">
      <w:pPr>
        <w:ind w:left="720" w:right="720"/>
        <w:jc w:val="both"/>
        <w:rPr>
          <w:sz w:val="24"/>
          <w:szCs w:val="24"/>
        </w:rPr>
      </w:pPr>
    </w:p>
    <w:p w:rsidR="009974F9" w:rsidRDefault="009974F9" w:rsidP="0024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D374A">
        <w:rPr>
          <w:sz w:val="24"/>
          <w:szCs w:val="24"/>
        </w:rPr>
        <w:t xml:space="preserve">omputer and printer hard drives, RAM, </w:t>
      </w:r>
      <w:r w:rsidR="002D374A" w:rsidRPr="00206A0D">
        <w:rPr>
          <w:sz w:val="24"/>
          <w:szCs w:val="24"/>
        </w:rPr>
        <w:t>removable storage devices</w:t>
      </w:r>
      <w:r>
        <w:rPr>
          <w:sz w:val="24"/>
          <w:szCs w:val="24"/>
        </w:rPr>
        <w:t>, and back up tapes</w:t>
      </w:r>
      <w:r w:rsidR="002D374A" w:rsidRPr="00206A0D">
        <w:rPr>
          <w:sz w:val="24"/>
          <w:szCs w:val="24"/>
        </w:rPr>
        <w:t xml:space="preserve"> </w:t>
      </w:r>
      <w:r w:rsidR="00243E24">
        <w:rPr>
          <w:sz w:val="24"/>
          <w:szCs w:val="24"/>
        </w:rPr>
        <w:t>shall</w:t>
      </w:r>
      <w:r w:rsidR="0056542F" w:rsidRPr="00206A0D">
        <w:rPr>
          <w:sz w:val="24"/>
          <w:szCs w:val="24"/>
        </w:rPr>
        <w:t xml:space="preserve"> be disposed of using technologies that perform a series of successive data writing and</w:t>
      </w:r>
      <w:r>
        <w:rPr>
          <w:sz w:val="24"/>
          <w:szCs w:val="24"/>
        </w:rPr>
        <w:t xml:space="preserve"> </w:t>
      </w:r>
      <w:r w:rsidR="0056542F" w:rsidRPr="00206A0D">
        <w:rPr>
          <w:sz w:val="24"/>
          <w:szCs w:val="24"/>
        </w:rPr>
        <w:t>erasing in random patterns and</w:t>
      </w:r>
      <w:r>
        <w:rPr>
          <w:sz w:val="24"/>
          <w:szCs w:val="24"/>
        </w:rPr>
        <w:t xml:space="preserve"> </w:t>
      </w:r>
      <w:r w:rsidR="0056542F" w:rsidRPr="00206A0D">
        <w:rPr>
          <w:sz w:val="24"/>
          <w:szCs w:val="24"/>
        </w:rPr>
        <w:t xml:space="preserve">low level formatting that ensures the electronic data is completely irrecoverable. </w:t>
      </w:r>
      <w:r w:rsidR="00E75290">
        <w:rPr>
          <w:sz w:val="24"/>
          <w:szCs w:val="24"/>
        </w:rPr>
        <w:t xml:space="preserve"> </w:t>
      </w:r>
    </w:p>
    <w:p w:rsidR="009974F9" w:rsidRDefault="009974F9" w:rsidP="00243E24">
      <w:pPr>
        <w:ind w:left="720" w:right="720"/>
        <w:jc w:val="both"/>
        <w:rPr>
          <w:sz w:val="24"/>
          <w:szCs w:val="24"/>
        </w:rPr>
      </w:pPr>
    </w:p>
    <w:p w:rsidR="00CF20B4" w:rsidRPr="00206A0D" w:rsidRDefault="0056542F" w:rsidP="00243E24">
      <w:pPr>
        <w:ind w:left="720" w:right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 xml:space="preserve">If the </w:t>
      </w:r>
      <w:r w:rsidR="002D374A">
        <w:rPr>
          <w:sz w:val="24"/>
          <w:szCs w:val="24"/>
        </w:rPr>
        <w:t>equipment</w:t>
      </w:r>
      <w:r w:rsidRPr="00206A0D">
        <w:rPr>
          <w:sz w:val="24"/>
          <w:szCs w:val="24"/>
        </w:rPr>
        <w:t xml:space="preserve"> is no longer usable, A+ will </w:t>
      </w:r>
      <w:r w:rsidR="009974F9">
        <w:rPr>
          <w:sz w:val="24"/>
          <w:szCs w:val="24"/>
        </w:rPr>
        <w:t xml:space="preserve">engage </w:t>
      </w:r>
      <w:r w:rsidRPr="00206A0D">
        <w:rPr>
          <w:sz w:val="24"/>
          <w:szCs w:val="24"/>
        </w:rPr>
        <w:t xml:space="preserve">a third party vendor </w:t>
      </w:r>
      <w:r w:rsidR="009974F9">
        <w:rPr>
          <w:sz w:val="24"/>
          <w:szCs w:val="24"/>
        </w:rPr>
        <w:t xml:space="preserve">to </w:t>
      </w:r>
      <w:r w:rsidRPr="00206A0D">
        <w:rPr>
          <w:sz w:val="24"/>
          <w:szCs w:val="24"/>
        </w:rPr>
        <w:t>physical</w:t>
      </w:r>
      <w:r w:rsidR="00494468" w:rsidRPr="00206A0D">
        <w:rPr>
          <w:sz w:val="24"/>
          <w:szCs w:val="24"/>
        </w:rPr>
        <w:t>ly</w:t>
      </w:r>
      <w:r w:rsidRPr="00206A0D">
        <w:rPr>
          <w:sz w:val="24"/>
          <w:szCs w:val="24"/>
        </w:rPr>
        <w:t xml:space="preserve"> destroy the magnetic media in </w:t>
      </w:r>
      <w:r w:rsidR="009974F9">
        <w:rPr>
          <w:sz w:val="24"/>
          <w:szCs w:val="24"/>
        </w:rPr>
        <w:t>a manner that is commensurate with the</w:t>
      </w:r>
      <w:r w:rsidRPr="00206A0D">
        <w:rPr>
          <w:sz w:val="24"/>
          <w:szCs w:val="24"/>
        </w:rPr>
        <w:t xml:space="preserve"> </w:t>
      </w:r>
      <w:r w:rsidR="009974F9">
        <w:rPr>
          <w:sz w:val="24"/>
          <w:szCs w:val="24"/>
        </w:rPr>
        <w:t xml:space="preserve">sensitivity defined by the Data Classification Policy and depicted in the </w:t>
      </w:r>
      <w:r w:rsidRPr="00206A0D">
        <w:rPr>
          <w:sz w:val="24"/>
          <w:szCs w:val="24"/>
        </w:rPr>
        <w:t>Data Destruction Matrix</w:t>
      </w:r>
      <w:r w:rsidR="00E75290">
        <w:rPr>
          <w:sz w:val="24"/>
          <w:szCs w:val="24"/>
        </w:rPr>
        <w:t xml:space="preserve"> (see </w:t>
      </w:r>
      <w:r w:rsidR="00E75290" w:rsidRPr="00E75290">
        <w:rPr>
          <w:b/>
          <w:sz w:val="24"/>
          <w:szCs w:val="24"/>
        </w:rPr>
        <w:t xml:space="preserve">Appendix </w:t>
      </w:r>
      <w:r w:rsidR="00BF5ED0">
        <w:rPr>
          <w:b/>
          <w:sz w:val="24"/>
          <w:szCs w:val="24"/>
        </w:rPr>
        <w:t>B</w:t>
      </w:r>
      <w:r w:rsidR="00E75290">
        <w:rPr>
          <w:sz w:val="24"/>
          <w:szCs w:val="24"/>
        </w:rPr>
        <w:t>)</w:t>
      </w:r>
      <w:r w:rsidRPr="00206A0D">
        <w:rPr>
          <w:sz w:val="24"/>
          <w:szCs w:val="24"/>
        </w:rPr>
        <w:t>.</w:t>
      </w:r>
    </w:p>
    <w:p w:rsidR="00494468" w:rsidRPr="00206A0D" w:rsidRDefault="00494468" w:rsidP="00243E24">
      <w:pPr>
        <w:ind w:left="720" w:right="720"/>
        <w:jc w:val="both"/>
        <w:rPr>
          <w:sz w:val="24"/>
          <w:szCs w:val="24"/>
        </w:rPr>
      </w:pPr>
    </w:p>
    <w:p w:rsidR="00494468" w:rsidRPr="00206A0D" w:rsidRDefault="00CB575D" w:rsidP="0024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9974F9" w:rsidRPr="00634511">
        <w:rPr>
          <w:color w:val="000000" w:themeColor="text1"/>
          <w:sz w:val="24"/>
          <w:szCs w:val="24"/>
        </w:rPr>
        <w:t>physical records</w:t>
      </w:r>
      <w:r w:rsidR="007E5E90" w:rsidRPr="00634511">
        <w:rPr>
          <w:color w:val="000000" w:themeColor="text1"/>
          <w:sz w:val="24"/>
          <w:szCs w:val="24"/>
        </w:rPr>
        <w:t xml:space="preserve"> </w:t>
      </w:r>
      <w:r w:rsidR="00BA0502" w:rsidRPr="00206A0D">
        <w:rPr>
          <w:sz w:val="24"/>
          <w:szCs w:val="24"/>
        </w:rPr>
        <w:t xml:space="preserve">that contain </w:t>
      </w:r>
      <w:r w:rsidR="00494468" w:rsidRPr="00206A0D">
        <w:rPr>
          <w:sz w:val="24"/>
          <w:szCs w:val="24"/>
        </w:rPr>
        <w:t>private or restricted</w:t>
      </w:r>
      <w:r w:rsidR="00BA0502" w:rsidRPr="00206A0D">
        <w:rPr>
          <w:sz w:val="24"/>
          <w:szCs w:val="24"/>
        </w:rPr>
        <w:t xml:space="preserve"> information </w:t>
      </w:r>
      <w:r w:rsidR="00634511">
        <w:rPr>
          <w:sz w:val="24"/>
          <w:szCs w:val="24"/>
        </w:rPr>
        <w:t xml:space="preserve">that is required to be stored in accordance with the Data Retention Policy </w:t>
      </w:r>
      <w:r w:rsidR="00243E24">
        <w:rPr>
          <w:sz w:val="24"/>
          <w:szCs w:val="24"/>
        </w:rPr>
        <w:t>shall</w:t>
      </w:r>
      <w:r w:rsidR="001917CC" w:rsidRPr="00206A0D">
        <w:rPr>
          <w:sz w:val="24"/>
          <w:szCs w:val="24"/>
        </w:rPr>
        <w:t xml:space="preserve"> be dispose</w:t>
      </w:r>
      <w:r w:rsidR="00BA0502" w:rsidRPr="00206A0D">
        <w:rPr>
          <w:sz w:val="24"/>
          <w:szCs w:val="24"/>
        </w:rPr>
        <w:t xml:space="preserve">d of in </w:t>
      </w:r>
      <w:r w:rsidR="00634511">
        <w:rPr>
          <w:sz w:val="24"/>
          <w:szCs w:val="24"/>
        </w:rPr>
        <w:t xml:space="preserve">designated, </w:t>
      </w:r>
      <w:r w:rsidR="001917CC" w:rsidRPr="00206A0D">
        <w:rPr>
          <w:sz w:val="24"/>
          <w:szCs w:val="24"/>
        </w:rPr>
        <w:t xml:space="preserve">locked shred </w:t>
      </w:r>
      <w:r w:rsidR="00EC40CE" w:rsidRPr="00206A0D">
        <w:rPr>
          <w:sz w:val="24"/>
          <w:szCs w:val="24"/>
        </w:rPr>
        <w:t>bins</w:t>
      </w:r>
      <w:r w:rsidR="00634511">
        <w:rPr>
          <w:sz w:val="24"/>
          <w:szCs w:val="24"/>
        </w:rPr>
        <w:t xml:space="preserve">.  </w:t>
      </w:r>
      <w:r w:rsidR="00494468" w:rsidRPr="00206A0D">
        <w:rPr>
          <w:sz w:val="24"/>
          <w:szCs w:val="24"/>
        </w:rPr>
        <w:t xml:space="preserve">A+ will </w:t>
      </w:r>
      <w:r w:rsidR="009974F9">
        <w:rPr>
          <w:sz w:val="24"/>
          <w:szCs w:val="24"/>
        </w:rPr>
        <w:t>similarly engage a t</w:t>
      </w:r>
      <w:r w:rsidR="00494468" w:rsidRPr="00206A0D">
        <w:rPr>
          <w:sz w:val="24"/>
          <w:szCs w:val="24"/>
        </w:rPr>
        <w:t xml:space="preserve">hird party vendor </w:t>
      </w:r>
      <w:r w:rsidR="009974F9">
        <w:rPr>
          <w:sz w:val="24"/>
          <w:szCs w:val="24"/>
        </w:rPr>
        <w:t xml:space="preserve">to empty and shred documents in the bins </w:t>
      </w:r>
      <w:r w:rsidR="00634511">
        <w:rPr>
          <w:sz w:val="24"/>
          <w:szCs w:val="24"/>
        </w:rPr>
        <w:t xml:space="preserve">as depicted in the </w:t>
      </w:r>
      <w:r w:rsidR="00494468" w:rsidRPr="00206A0D">
        <w:rPr>
          <w:sz w:val="24"/>
          <w:szCs w:val="24"/>
        </w:rPr>
        <w:t>Data Destruction Matrix</w:t>
      </w:r>
      <w:r w:rsidR="00634511" w:rsidRPr="00206A0D">
        <w:rPr>
          <w:sz w:val="24"/>
          <w:szCs w:val="24"/>
        </w:rPr>
        <w:t xml:space="preserve">.  </w:t>
      </w:r>
    </w:p>
    <w:p w:rsidR="00494468" w:rsidRPr="00206A0D" w:rsidRDefault="001917CC" w:rsidP="00243E24">
      <w:pPr>
        <w:ind w:left="720" w:right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 xml:space="preserve"> </w:t>
      </w:r>
      <w:r w:rsidR="00A37107" w:rsidRPr="00206A0D">
        <w:rPr>
          <w:sz w:val="24"/>
          <w:szCs w:val="24"/>
        </w:rPr>
        <w:t xml:space="preserve"> </w:t>
      </w:r>
    </w:p>
    <w:p w:rsidR="00900CE1" w:rsidRDefault="00634511" w:rsidP="0024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709AC" w:rsidRPr="00206A0D">
        <w:rPr>
          <w:sz w:val="24"/>
          <w:szCs w:val="24"/>
        </w:rPr>
        <w:t>ertificate</w:t>
      </w:r>
      <w:r>
        <w:rPr>
          <w:sz w:val="24"/>
          <w:szCs w:val="24"/>
        </w:rPr>
        <w:t>s</w:t>
      </w:r>
      <w:r w:rsidR="00D709AC" w:rsidRPr="00206A0D">
        <w:rPr>
          <w:sz w:val="24"/>
          <w:szCs w:val="24"/>
        </w:rPr>
        <w:t xml:space="preserve"> of destruction shall </w:t>
      </w:r>
      <w:r w:rsidR="00192F45" w:rsidRPr="00206A0D">
        <w:rPr>
          <w:sz w:val="24"/>
          <w:szCs w:val="24"/>
        </w:rPr>
        <w:t>be</w:t>
      </w:r>
      <w:r w:rsidR="00D709AC" w:rsidRPr="00206A0D">
        <w:rPr>
          <w:sz w:val="24"/>
          <w:szCs w:val="24"/>
        </w:rPr>
        <w:t xml:space="preserve"> retained from all third party vendors </w:t>
      </w:r>
      <w:r>
        <w:rPr>
          <w:sz w:val="24"/>
          <w:szCs w:val="24"/>
        </w:rPr>
        <w:t xml:space="preserve">who destroy equipment or physical records </w:t>
      </w:r>
      <w:r w:rsidR="00494468" w:rsidRPr="00206A0D">
        <w:rPr>
          <w:sz w:val="24"/>
          <w:szCs w:val="24"/>
        </w:rPr>
        <w:t xml:space="preserve">on </w:t>
      </w:r>
      <w:r w:rsidR="00D220C7" w:rsidRPr="00206A0D">
        <w:rPr>
          <w:sz w:val="24"/>
          <w:szCs w:val="24"/>
        </w:rPr>
        <w:t>behalf of A+ corporation</w:t>
      </w:r>
      <w:r w:rsidR="00494468" w:rsidRPr="00206A0D">
        <w:rPr>
          <w:sz w:val="24"/>
          <w:szCs w:val="24"/>
        </w:rPr>
        <w:t xml:space="preserve"> in accordance with the Data Destruction Matrix.</w:t>
      </w:r>
      <w:r w:rsidR="00E03C22" w:rsidRPr="00206A0D">
        <w:rPr>
          <w:sz w:val="24"/>
          <w:szCs w:val="24"/>
        </w:rPr>
        <w:t xml:space="preserve"> </w:t>
      </w:r>
    </w:p>
    <w:p w:rsidR="00206A0D" w:rsidRDefault="00206A0D" w:rsidP="00243E24">
      <w:pPr>
        <w:ind w:left="720" w:right="720"/>
        <w:jc w:val="both"/>
        <w:rPr>
          <w:sz w:val="24"/>
          <w:szCs w:val="24"/>
        </w:rPr>
      </w:pPr>
    </w:p>
    <w:p w:rsidR="00AF0E3A" w:rsidRPr="00206A0D" w:rsidRDefault="00AF0E3A" w:rsidP="00243E24">
      <w:pPr>
        <w:ind w:left="720" w:right="720"/>
        <w:jc w:val="both"/>
        <w:rPr>
          <w:b/>
          <w:sz w:val="24"/>
          <w:szCs w:val="24"/>
        </w:rPr>
      </w:pPr>
      <w:r w:rsidRPr="00206A0D">
        <w:rPr>
          <w:b/>
          <w:sz w:val="24"/>
          <w:szCs w:val="24"/>
        </w:rPr>
        <w:t>Policy Compliance:</w:t>
      </w:r>
    </w:p>
    <w:p w:rsidR="00AF0E3A" w:rsidRPr="00206A0D" w:rsidRDefault="00AF0E3A" w:rsidP="0024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Audit </w:t>
      </w:r>
      <w:r w:rsidRPr="00206A0D">
        <w:rPr>
          <w:sz w:val="24"/>
          <w:szCs w:val="24"/>
        </w:rPr>
        <w:t xml:space="preserve">will </w:t>
      </w:r>
      <w:r>
        <w:rPr>
          <w:sz w:val="24"/>
          <w:szCs w:val="24"/>
        </w:rPr>
        <w:t>monitor</w:t>
      </w:r>
      <w:r w:rsidRPr="00206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Policy </w:t>
      </w:r>
      <w:r w:rsidRPr="00206A0D">
        <w:rPr>
          <w:sz w:val="24"/>
          <w:szCs w:val="24"/>
        </w:rPr>
        <w:t xml:space="preserve">compliance through various methods, including </w:t>
      </w:r>
      <w:r>
        <w:rPr>
          <w:sz w:val="24"/>
          <w:szCs w:val="24"/>
        </w:rPr>
        <w:t xml:space="preserve">Whistleblower Hotline calls, </w:t>
      </w:r>
      <w:r w:rsidRPr="00206A0D">
        <w:rPr>
          <w:sz w:val="24"/>
          <w:szCs w:val="24"/>
        </w:rPr>
        <w:t xml:space="preserve">business tool reports, internal and external audits, and </w:t>
      </w:r>
      <w:r w:rsidR="00243E24">
        <w:rPr>
          <w:sz w:val="24"/>
          <w:szCs w:val="24"/>
        </w:rPr>
        <w:t>Management feedback</w:t>
      </w:r>
      <w:r w:rsidRPr="00206A0D">
        <w:rPr>
          <w:sz w:val="24"/>
          <w:szCs w:val="24"/>
        </w:rPr>
        <w:t>.</w:t>
      </w:r>
    </w:p>
    <w:p w:rsidR="00AF0E3A" w:rsidRPr="00206A0D" w:rsidRDefault="00AF0E3A" w:rsidP="00243E24">
      <w:pPr>
        <w:ind w:left="720" w:right="720"/>
        <w:jc w:val="both"/>
        <w:rPr>
          <w:sz w:val="24"/>
          <w:szCs w:val="24"/>
        </w:rPr>
      </w:pPr>
    </w:p>
    <w:p w:rsidR="00AF0E3A" w:rsidRPr="00AF0E3A" w:rsidRDefault="00AF0E3A" w:rsidP="00243E24">
      <w:pPr>
        <w:ind w:left="720" w:right="720"/>
        <w:jc w:val="both"/>
        <w:rPr>
          <w:b/>
          <w:color w:val="000000" w:themeColor="text1"/>
          <w:sz w:val="24"/>
          <w:szCs w:val="24"/>
        </w:rPr>
      </w:pPr>
      <w:r w:rsidRPr="00AF0E3A">
        <w:rPr>
          <w:b/>
          <w:color w:val="000000" w:themeColor="text1"/>
          <w:sz w:val="24"/>
          <w:szCs w:val="24"/>
        </w:rPr>
        <w:t>Enforcement:</w:t>
      </w:r>
    </w:p>
    <w:p w:rsidR="00AF0E3A" w:rsidRPr="00AF0E3A" w:rsidRDefault="00AF0E3A" w:rsidP="00243E24">
      <w:pPr>
        <w:ind w:left="720" w:right="720"/>
        <w:jc w:val="both"/>
        <w:rPr>
          <w:color w:val="000000" w:themeColor="text1"/>
          <w:sz w:val="24"/>
          <w:szCs w:val="24"/>
        </w:rPr>
      </w:pPr>
      <w:r w:rsidRPr="00AF0E3A">
        <w:rPr>
          <w:color w:val="000000" w:themeColor="text1"/>
          <w:sz w:val="24"/>
          <w:szCs w:val="24"/>
        </w:rPr>
        <w:t>Any employee</w:t>
      </w:r>
      <w:r w:rsidR="001E4640">
        <w:rPr>
          <w:color w:val="000000" w:themeColor="text1"/>
          <w:sz w:val="24"/>
          <w:szCs w:val="24"/>
        </w:rPr>
        <w:t xml:space="preserve"> (including part</w:t>
      </w:r>
      <w:r w:rsidR="00B3192C">
        <w:rPr>
          <w:color w:val="000000" w:themeColor="text1"/>
          <w:sz w:val="24"/>
          <w:szCs w:val="24"/>
        </w:rPr>
        <w:t>-</w:t>
      </w:r>
      <w:r w:rsidR="001E4640">
        <w:rPr>
          <w:color w:val="000000" w:themeColor="text1"/>
          <w:sz w:val="24"/>
          <w:szCs w:val="24"/>
        </w:rPr>
        <w:t xml:space="preserve">time employees and consultants), </w:t>
      </w:r>
      <w:r w:rsidRPr="00AF0E3A">
        <w:rPr>
          <w:color w:val="000000" w:themeColor="text1"/>
          <w:sz w:val="24"/>
          <w:szCs w:val="24"/>
        </w:rPr>
        <w:t xml:space="preserve">contractor, </w:t>
      </w:r>
      <w:r w:rsidR="001E4640">
        <w:rPr>
          <w:color w:val="000000" w:themeColor="text1"/>
          <w:sz w:val="24"/>
          <w:szCs w:val="24"/>
        </w:rPr>
        <w:t xml:space="preserve">vendor </w:t>
      </w:r>
      <w:r w:rsidR="00B3192C">
        <w:rPr>
          <w:color w:val="000000" w:themeColor="text1"/>
          <w:sz w:val="24"/>
          <w:szCs w:val="24"/>
        </w:rPr>
        <w:t xml:space="preserve">or other third party who willfully </w:t>
      </w:r>
      <w:r w:rsidRPr="00AF0E3A">
        <w:rPr>
          <w:color w:val="000000" w:themeColor="text1"/>
          <w:sz w:val="24"/>
          <w:szCs w:val="24"/>
        </w:rPr>
        <w:t>violat</w:t>
      </w:r>
      <w:r w:rsidR="00B3192C">
        <w:rPr>
          <w:color w:val="000000" w:themeColor="text1"/>
          <w:sz w:val="24"/>
          <w:szCs w:val="24"/>
        </w:rPr>
        <w:t>es</w:t>
      </w:r>
      <w:r w:rsidRPr="00AF0E3A">
        <w:rPr>
          <w:color w:val="000000" w:themeColor="text1"/>
          <w:sz w:val="24"/>
          <w:szCs w:val="24"/>
        </w:rPr>
        <w:t xml:space="preserve"> this policy may be subject to disciplinary action</w:t>
      </w:r>
      <w:r w:rsidR="00B3192C">
        <w:rPr>
          <w:color w:val="000000" w:themeColor="text1"/>
          <w:sz w:val="24"/>
          <w:szCs w:val="24"/>
        </w:rPr>
        <w:t xml:space="preserve"> (</w:t>
      </w:r>
      <w:r w:rsidRPr="00AF0E3A">
        <w:rPr>
          <w:color w:val="000000" w:themeColor="text1"/>
          <w:sz w:val="24"/>
          <w:szCs w:val="24"/>
        </w:rPr>
        <w:t>up to and including termination</w:t>
      </w:r>
      <w:r w:rsidR="00B3192C">
        <w:rPr>
          <w:color w:val="000000" w:themeColor="text1"/>
          <w:sz w:val="24"/>
          <w:szCs w:val="24"/>
        </w:rPr>
        <w:t xml:space="preserve">), </w:t>
      </w:r>
      <w:r w:rsidRPr="00AF0E3A">
        <w:rPr>
          <w:color w:val="000000" w:themeColor="text1"/>
          <w:sz w:val="24"/>
          <w:szCs w:val="24"/>
        </w:rPr>
        <w:t>legal action</w:t>
      </w:r>
      <w:r w:rsidR="00B3192C">
        <w:rPr>
          <w:color w:val="000000" w:themeColor="text1"/>
          <w:sz w:val="24"/>
          <w:szCs w:val="24"/>
        </w:rPr>
        <w:t xml:space="preserve"> or sanctions</w:t>
      </w:r>
      <w:r w:rsidRPr="00AF0E3A">
        <w:rPr>
          <w:color w:val="000000" w:themeColor="text1"/>
          <w:sz w:val="24"/>
          <w:szCs w:val="24"/>
        </w:rPr>
        <w:t xml:space="preserve">. </w:t>
      </w:r>
    </w:p>
    <w:p w:rsidR="00AF0E3A" w:rsidRPr="00206A0D" w:rsidRDefault="00AF0E3A" w:rsidP="00243E24">
      <w:pPr>
        <w:ind w:left="720" w:right="720"/>
        <w:jc w:val="both"/>
        <w:rPr>
          <w:sz w:val="24"/>
          <w:szCs w:val="24"/>
        </w:rPr>
      </w:pPr>
    </w:p>
    <w:p w:rsidR="00AF0E3A" w:rsidRDefault="00AF0E3A" w:rsidP="00243E24">
      <w:pPr>
        <w:jc w:val="both"/>
        <w:rPr>
          <w:b/>
          <w:sz w:val="24"/>
          <w:szCs w:val="24"/>
        </w:rPr>
      </w:pPr>
    </w:p>
    <w:p w:rsidR="00AF0E3A" w:rsidRDefault="00AF0E3A" w:rsidP="00243E24">
      <w:pPr>
        <w:ind w:left="720"/>
        <w:jc w:val="both"/>
        <w:rPr>
          <w:b/>
          <w:sz w:val="24"/>
          <w:szCs w:val="24"/>
        </w:rPr>
      </w:pPr>
    </w:p>
    <w:p w:rsidR="00AF0E3A" w:rsidRPr="00A21904" w:rsidRDefault="00AF0E3A" w:rsidP="00243E24">
      <w:pPr>
        <w:ind w:left="720"/>
        <w:jc w:val="both"/>
        <w:rPr>
          <w:b/>
          <w:sz w:val="24"/>
          <w:szCs w:val="24"/>
        </w:rPr>
      </w:pPr>
      <w:r w:rsidRPr="00A21904">
        <w:rPr>
          <w:b/>
          <w:sz w:val="24"/>
          <w:szCs w:val="24"/>
        </w:rPr>
        <w:t>Related Policies and Procedures:</w:t>
      </w:r>
    </w:p>
    <w:p w:rsidR="00AF0E3A" w:rsidRPr="00206A0D" w:rsidRDefault="00AF0E3A" w:rsidP="00243E24">
      <w:pPr>
        <w:ind w:firstLine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>Data Classification Policy v4.1</w:t>
      </w:r>
    </w:p>
    <w:p w:rsidR="00AF0E3A" w:rsidRDefault="00AF0E3A" w:rsidP="00243E24">
      <w:pPr>
        <w:ind w:firstLine="720"/>
        <w:jc w:val="both"/>
        <w:rPr>
          <w:sz w:val="24"/>
          <w:szCs w:val="24"/>
        </w:rPr>
      </w:pPr>
      <w:r w:rsidRPr="00206A0D">
        <w:rPr>
          <w:sz w:val="24"/>
          <w:szCs w:val="24"/>
        </w:rPr>
        <w:t>Data Retention Policy v2.1</w:t>
      </w:r>
    </w:p>
    <w:p w:rsidR="00B3192C" w:rsidRDefault="00B3192C" w:rsidP="00243E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Whistleblower Policy v2.3</w:t>
      </w:r>
    </w:p>
    <w:p w:rsidR="00AF0E3A" w:rsidRDefault="00AF0E3A" w:rsidP="00243E24">
      <w:pPr>
        <w:ind w:left="720" w:right="720"/>
        <w:jc w:val="both"/>
        <w:rPr>
          <w:sz w:val="24"/>
          <w:szCs w:val="24"/>
        </w:rPr>
      </w:pPr>
    </w:p>
    <w:p w:rsidR="00243E24" w:rsidRDefault="00243E24" w:rsidP="00243E24">
      <w:pPr>
        <w:ind w:left="720" w:right="720"/>
        <w:jc w:val="both"/>
        <w:rPr>
          <w:sz w:val="24"/>
          <w:szCs w:val="24"/>
        </w:rPr>
      </w:pPr>
    </w:p>
    <w:p w:rsidR="00243E24" w:rsidRPr="00243E24" w:rsidRDefault="00243E24" w:rsidP="00243E24">
      <w:pPr>
        <w:ind w:firstLine="720"/>
        <w:jc w:val="both"/>
        <w:rPr>
          <w:b/>
          <w:sz w:val="24"/>
          <w:szCs w:val="24"/>
        </w:rPr>
      </w:pPr>
      <w:r w:rsidRPr="00243E24">
        <w:rPr>
          <w:b/>
          <w:sz w:val="24"/>
          <w:szCs w:val="24"/>
        </w:rPr>
        <w:t>Version History</w:t>
      </w:r>
    </w:p>
    <w:tbl>
      <w:tblPr>
        <w:tblStyle w:val="TableGrid"/>
        <w:tblW w:w="0" w:type="auto"/>
        <w:tblInd w:w="711" w:type="dxa"/>
        <w:tblLook w:val="04A0" w:firstRow="1" w:lastRow="0" w:firstColumn="1" w:lastColumn="0" w:noHBand="0" w:noVBand="1"/>
      </w:tblPr>
      <w:tblGrid>
        <w:gridCol w:w="1264"/>
        <w:gridCol w:w="1710"/>
        <w:gridCol w:w="2700"/>
        <w:gridCol w:w="3890"/>
      </w:tblGrid>
      <w:tr w:rsidR="00243E24" w:rsidRPr="00206A0D" w:rsidTr="00243E24">
        <w:tc>
          <w:tcPr>
            <w:tcW w:w="1264" w:type="dxa"/>
          </w:tcPr>
          <w:p w:rsidR="00243E24" w:rsidRPr="00243E24" w:rsidRDefault="00243E24" w:rsidP="00243E24">
            <w:pPr>
              <w:jc w:val="both"/>
              <w:rPr>
                <w:b/>
                <w:sz w:val="24"/>
                <w:szCs w:val="24"/>
              </w:rPr>
            </w:pPr>
            <w:r w:rsidRPr="00243E24">
              <w:rPr>
                <w:b/>
                <w:sz w:val="24"/>
                <w:szCs w:val="24"/>
              </w:rPr>
              <w:t>Version</w:t>
            </w:r>
          </w:p>
        </w:tc>
        <w:tc>
          <w:tcPr>
            <w:tcW w:w="1710" w:type="dxa"/>
          </w:tcPr>
          <w:p w:rsidR="00243E24" w:rsidRPr="00243E24" w:rsidRDefault="00243E24" w:rsidP="00243E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Effective </w:t>
            </w:r>
            <w:r w:rsidRPr="00243E2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243E24" w:rsidRPr="00243E24" w:rsidRDefault="00243E24" w:rsidP="00243E24">
            <w:pPr>
              <w:jc w:val="both"/>
              <w:rPr>
                <w:b/>
                <w:sz w:val="24"/>
                <w:szCs w:val="24"/>
              </w:rPr>
            </w:pPr>
            <w:r w:rsidRPr="00243E24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890" w:type="dxa"/>
          </w:tcPr>
          <w:p w:rsidR="00243E24" w:rsidRPr="00243E24" w:rsidRDefault="00243E24" w:rsidP="00243E24">
            <w:pPr>
              <w:jc w:val="both"/>
              <w:rPr>
                <w:b/>
                <w:sz w:val="24"/>
                <w:szCs w:val="24"/>
              </w:rPr>
            </w:pPr>
            <w:r w:rsidRPr="00243E24">
              <w:rPr>
                <w:b/>
                <w:sz w:val="24"/>
                <w:szCs w:val="24"/>
              </w:rPr>
              <w:t>Change Summary</w:t>
            </w:r>
          </w:p>
        </w:tc>
      </w:tr>
      <w:tr w:rsidR="00243E24" w:rsidRPr="00206A0D" w:rsidTr="00243E24">
        <w:tc>
          <w:tcPr>
            <w:tcW w:w="1264" w:type="dxa"/>
          </w:tcPr>
          <w:p w:rsidR="00243E24" w:rsidRPr="00243E24" w:rsidRDefault="00243E24" w:rsidP="00243E24">
            <w:pPr>
              <w:rPr>
                <w:sz w:val="24"/>
                <w:szCs w:val="24"/>
              </w:rPr>
            </w:pPr>
            <w:r w:rsidRPr="00243E24">
              <w:rPr>
                <w:sz w:val="24"/>
                <w:szCs w:val="24"/>
              </w:rPr>
              <w:t xml:space="preserve">2016-CISO-1  </w:t>
            </w:r>
          </w:p>
        </w:tc>
        <w:tc>
          <w:tcPr>
            <w:tcW w:w="1710" w:type="dxa"/>
          </w:tcPr>
          <w:p w:rsidR="00243E24" w:rsidRPr="00206A0D" w:rsidRDefault="00243E24" w:rsidP="0024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1, 2016</w:t>
            </w:r>
          </w:p>
        </w:tc>
        <w:tc>
          <w:tcPr>
            <w:tcW w:w="2700" w:type="dxa"/>
          </w:tcPr>
          <w:p w:rsidR="00243E24" w:rsidRPr="00206A0D" w:rsidRDefault="00243E24" w:rsidP="0024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Information Security</w:t>
            </w:r>
          </w:p>
        </w:tc>
        <w:tc>
          <w:tcPr>
            <w:tcW w:w="3890" w:type="dxa"/>
          </w:tcPr>
          <w:p w:rsidR="00243E24" w:rsidRPr="00206A0D" w:rsidRDefault="00243E24" w:rsidP="0024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Implemented</w:t>
            </w:r>
          </w:p>
        </w:tc>
      </w:tr>
      <w:tr w:rsidR="00243E24" w:rsidRPr="00206A0D" w:rsidTr="00243E24">
        <w:tc>
          <w:tcPr>
            <w:tcW w:w="1264" w:type="dxa"/>
          </w:tcPr>
          <w:p w:rsidR="00243E24" w:rsidRP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</w:tr>
      <w:tr w:rsidR="00243E24" w:rsidRPr="00206A0D" w:rsidTr="00243E24">
        <w:tc>
          <w:tcPr>
            <w:tcW w:w="1264" w:type="dxa"/>
          </w:tcPr>
          <w:p w:rsidR="00243E24" w:rsidRP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243E24" w:rsidRDefault="00243E24" w:rsidP="00243E24">
            <w:pPr>
              <w:jc w:val="both"/>
              <w:rPr>
                <w:sz w:val="24"/>
                <w:szCs w:val="24"/>
              </w:rPr>
            </w:pPr>
          </w:p>
        </w:tc>
      </w:tr>
    </w:tbl>
    <w:p w:rsidR="00AF0E3A" w:rsidRDefault="00AF0E3A" w:rsidP="00243E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0E3A" w:rsidRPr="00AF0E3A" w:rsidRDefault="00AF0E3A" w:rsidP="00AF0E3A">
      <w:pPr>
        <w:ind w:left="720" w:right="720"/>
        <w:jc w:val="center"/>
        <w:rPr>
          <w:b/>
          <w:sz w:val="24"/>
          <w:szCs w:val="24"/>
        </w:rPr>
      </w:pPr>
      <w:r w:rsidRPr="00AF0E3A">
        <w:rPr>
          <w:b/>
          <w:sz w:val="24"/>
          <w:szCs w:val="24"/>
        </w:rPr>
        <w:lastRenderedPageBreak/>
        <w:t xml:space="preserve">Appendix A – </w:t>
      </w:r>
      <w:r w:rsidR="00243E24">
        <w:rPr>
          <w:b/>
          <w:sz w:val="24"/>
          <w:szCs w:val="24"/>
        </w:rPr>
        <w:t xml:space="preserve">Excerpt from </w:t>
      </w:r>
      <w:r w:rsidRPr="00AF0E3A">
        <w:rPr>
          <w:b/>
          <w:sz w:val="24"/>
          <w:szCs w:val="24"/>
        </w:rPr>
        <w:t>Data Classification Policy</w:t>
      </w:r>
    </w:p>
    <w:p w:rsidR="00192F45" w:rsidRPr="00206A0D" w:rsidRDefault="00192F45" w:rsidP="00E75290">
      <w:pPr>
        <w:ind w:left="720" w:right="720"/>
        <w:rPr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6660"/>
      </w:tblGrid>
      <w:tr w:rsidR="003830FF" w:rsidRPr="00206A0D" w:rsidTr="00634511">
        <w:tc>
          <w:tcPr>
            <w:tcW w:w="2790" w:type="dxa"/>
            <w:shd w:val="clear" w:color="auto" w:fill="F2F2F2" w:themeFill="background1" w:themeFillShade="F2"/>
          </w:tcPr>
          <w:p w:rsidR="003830FF" w:rsidRPr="00634511" w:rsidRDefault="00634511" w:rsidP="00634511">
            <w:pPr>
              <w:ind w:righ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</w:t>
            </w:r>
            <w:r w:rsidR="003830FF" w:rsidRPr="00634511">
              <w:rPr>
                <w:b/>
                <w:sz w:val="24"/>
                <w:szCs w:val="24"/>
              </w:rPr>
              <w:t xml:space="preserve">lassification 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:rsidR="003830FF" w:rsidRPr="00634511" w:rsidRDefault="0026459D" w:rsidP="00634511">
            <w:pPr>
              <w:ind w:left="166" w:righ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3830FF" w:rsidRPr="00206A0D" w:rsidTr="00634511">
        <w:tc>
          <w:tcPr>
            <w:tcW w:w="2790" w:type="dxa"/>
          </w:tcPr>
          <w:p w:rsidR="003830FF" w:rsidRPr="00206A0D" w:rsidRDefault="00634511" w:rsidP="00634511">
            <w:pPr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30FF" w:rsidRPr="00206A0D">
              <w:rPr>
                <w:sz w:val="24"/>
                <w:szCs w:val="24"/>
              </w:rPr>
              <w:t>Public</w:t>
            </w:r>
          </w:p>
        </w:tc>
        <w:tc>
          <w:tcPr>
            <w:tcW w:w="6660" w:type="dxa"/>
          </w:tcPr>
          <w:p w:rsidR="003830FF" w:rsidRPr="00206A0D" w:rsidRDefault="00EC18EE" w:rsidP="0026459D">
            <w:pPr>
              <w:ind w:left="256" w:right="720"/>
              <w:rPr>
                <w:sz w:val="24"/>
                <w:szCs w:val="24"/>
              </w:rPr>
            </w:pPr>
            <w:r w:rsidRPr="00206A0D">
              <w:rPr>
                <w:sz w:val="24"/>
                <w:szCs w:val="24"/>
              </w:rPr>
              <w:t>U</w:t>
            </w:r>
            <w:r w:rsidR="0082412D" w:rsidRPr="00206A0D">
              <w:rPr>
                <w:sz w:val="24"/>
                <w:szCs w:val="24"/>
              </w:rPr>
              <w:t xml:space="preserve">nauthorized </w:t>
            </w:r>
            <w:r w:rsidR="0026459D">
              <w:rPr>
                <w:sz w:val="24"/>
                <w:szCs w:val="24"/>
              </w:rPr>
              <w:t>use or disclosure o</w:t>
            </w:r>
            <w:r w:rsidR="0082412D" w:rsidRPr="00206A0D">
              <w:rPr>
                <w:sz w:val="24"/>
                <w:szCs w:val="24"/>
              </w:rPr>
              <w:t xml:space="preserve">f </w:t>
            </w:r>
            <w:r w:rsidR="0026459D">
              <w:rPr>
                <w:sz w:val="24"/>
                <w:szCs w:val="24"/>
              </w:rPr>
              <w:t xml:space="preserve">Public </w:t>
            </w:r>
            <w:r w:rsidR="0082412D" w:rsidRPr="00206A0D">
              <w:rPr>
                <w:sz w:val="24"/>
                <w:szCs w:val="24"/>
              </w:rPr>
              <w:t xml:space="preserve">data </w:t>
            </w:r>
            <w:r w:rsidR="0026459D">
              <w:rPr>
                <w:sz w:val="24"/>
                <w:szCs w:val="24"/>
              </w:rPr>
              <w:t>or information presents</w:t>
            </w:r>
            <w:r w:rsidRPr="00206A0D">
              <w:rPr>
                <w:sz w:val="24"/>
                <w:szCs w:val="24"/>
              </w:rPr>
              <w:t xml:space="preserve"> </w:t>
            </w:r>
            <w:r w:rsidR="0026459D">
              <w:rPr>
                <w:sz w:val="24"/>
                <w:szCs w:val="24"/>
              </w:rPr>
              <w:t>negligible</w:t>
            </w:r>
            <w:r w:rsidRPr="00206A0D">
              <w:rPr>
                <w:sz w:val="24"/>
                <w:szCs w:val="24"/>
              </w:rPr>
              <w:t xml:space="preserve"> risk to </w:t>
            </w:r>
            <w:r w:rsidR="00634511">
              <w:rPr>
                <w:sz w:val="24"/>
                <w:szCs w:val="24"/>
              </w:rPr>
              <w:t>Company</w:t>
            </w:r>
            <w:r w:rsidR="0082412D" w:rsidRPr="00206A0D">
              <w:rPr>
                <w:sz w:val="24"/>
                <w:szCs w:val="24"/>
              </w:rPr>
              <w:t xml:space="preserve"> and</w:t>
            </w:r>
            <w:r w:rsidRPr="00206A0D">
              <w:rPr>
                <w:sz w:val="24"/>
                <w:szCs w:val="24"/>
              </w:rPr>
              <w:t>/or</w:t>
            </w:r>
            <w:r w:rsidR="0082412D" w:rsidRPr="00206A0D">
              <w:rPr>
                <w:sz w:val="24"/>
                <w:szCs w:val="24"/>
              </w:rPr>
              <w:t xml:space="preserve"> its </w:t>
            </w:r>
            <w:r w:rsidR="00634511">
              <w:rPr>
                <w:sz w:val="24"/>
                <w:szCs w:val="24"/>
              </w:rPr>
              <w:t>customers</w:t>
            </w:r>
            <w:r w:rsidR="0082412D" w:rsidRPr="00206A0D">
              <w:rPr>
                <w:sz w:val="24"/>
                <w:szCs w:val="24"/>
              </w:rPr>
              <w:t>.</w:t>
            </w:r>
          </w:p>
        </w:tc>
      </w:tr>
      <w:tr w:rsidR="003830FF" w:rsidRPr="00206A0D" w:rsidTr="00634511">
        <w:tc>
          <w:tcPr>
            <w:tcW w:w="2790" w:type="dxa"/>
          </w:tcPr>
          <w:p w:rsidR="003830FF" w:rsidRPr="00206A0D" w:rsidRDefault="0082412D" w:rsidP="00634511">
            <w:pPr>
              <w:ind w:right="720"/>
              <w:rPr>
                <w:sz w:val="24"/>
                <w:szCs w:val="24"/>
              </w:rPr>
            </w:pPr>
            <w:r w:rsidRPr="00206A0D">
              <w:rPr>
                <w:sz w:val="24"/>
                <w:szCs w:val="24"/>
              </w:rPr>
              <w:t>Private</w:t>
            </w:r>
          </w:p>
        </w:tc>
        <w:tc>
          <w:tcPr>
            <w:tcW w:w="6660" w:type="dxa"/>
          </w:tcPr>
          <w:p w:rsidR="003830FF" w:rsidRPr="00206A0D" w:rsidRDefault="00EC18EE" w:rsidP="0026459D">
            <w:pPr>
              <w:ind w:left="256" w:right="720"/>
              <w:rPr>
                <w:sz w:val="24"/>
                <w:szCs w:val="24"/>
              </w:rPr>
            </w:pPr>
            <w:r w:rsidRPr="00206A0D">
              <w:rPr>
                <w:sz w:val="24"/>
                <w:szCs w:val="24"/>
              </w:rPr>
              <w:t xml:space="preserve">Unauthorized </w:t>
            </w:r>
            <w:r w:rsidR="0026459D">
              <w:rPr>
                <w:sz w:val="24"/>
                <w:szCs w:val="24"/>
              </w:rPr>
              <w:t xml:space="preserve">use or disclosure </w:t>
            </w:r>
            <w:r w:rsidRPr="00206A0D">
              <w:rPr>
                <w:sz w:val="24"/>
                <w:szCs w:val="24"/>
              </w:rPr>
              <w:t xml:space="preserve">of </w:t>
            </w:r>
            <w:r w:rsidR="0026459D">
              <w:rPr>
                <w:sz w:val="24"/>
                <w:szCs w:val="24"/>
              </w:rPr>
              <w:t>Private data or information presents</w:t>
            </w:r>
            <w:r w:rsidR="0082412D" w:rsidRPr="00206A0D">
              <w:rPr>
                <w:sz w:val="24"/>
                <w:szCs w:val="24"/>
              </w:rPr>
              <w:t xml:space="preserve"> a moderate level of risk to the </w:t>
            </w:r>
            <w:r w:rsidR="00634511">
              <w:rPr>
                <w:sz w:val="24"/>
                <w:szCs w:val="24"/>
              </w:rPr>
              <w:t>C</w:t>
            </w:r>
            <w:r w:rsidRPr="00206A0D">
              <w:rPr>
                <w:sz w:val="24"/>
                <w:szCs w:val="24"/>
              </w:rPr>
              <w:t>ompany and/</w:t>
            </w:r>
            <w:r w:rsidR="0082412D" w:rsidRPr="00206A0D">
              <w:rPr>
                <w:sz w:val="24"/>
                <w:szCs w:val="24"/>
              </w:rPr>
              <w:t xml:space="preserve">or its </w:t>
            </w:r>
            <w:r w:rsidR="00634511">
              <w:rPr>
                <w:sz w:val="24"/>
                <w:szCs w:val="24"/>
              </w:rPr>
              <w:t>customers.</w:t>
            </w:r>
          </w:p>
        </w:tc>
      </w:tr>
      <w:tr w:rsidR="003830FF" w:rsidRPr="00206A0D" w:rsidTr="00634511">
        <w:tc>
          <w:tcPr>
            <w:tcW w:w="2790" w:type="dxa"/>
          </w:tcPr>
          <w:p w:rsidR="003830FF" w:rsidRPr="00206A0D" w:rsidRDefault="003830FF" w:rsidP="00634511">
            <w:pPr>
              <w:ind w:right="720"/>
              <w:rPr>
                <w:sz w:val="24"/>
                <w:szCs w:val="24"/>
              </w:rPr>
            </w:pPr>
            <w:r w:rsidRPr="00206A0D">
              <w:rPr>
                <w:sz w:val="24"/>
                <w:szCs w:val="24"/>
              </w:rPr>
              <w:t>Restricted</w:t>
            </w:r>
          </w:p>
        </w:tc>
        <w:tc>
          <w:tcPr>
            <w:tcW w:w="6660" w:type="dxa"/>
          </w:tcPr>
          <w:p w:rsidR="003830FF" w:rsidRPr="00206A0D" w:rsidRDefault="00EC18EE" w:rsidP="0026459D">
            <w:pPr>
              <w:ind w:left="256" w:right="720"/>
              <w:rPr>
                <w:sz w:val="24"/>
                <w:szCs w:val="24"/>
              </w:rPr>
            </w:pPr>
            <w:r w:rsidRPr="00206A0D">
              <w:rPr>
                <w:sz w:val="24"/>
                <w:szCs w:val="24"/>
              </w:rPr>
              <w:t>U</w:t>
            </w:r>
            <w:r w:rsidR="0082412D" w:rsidRPr="00206A0D">
              <w:rPr>
                <w:sz w:val="24"/>
                <w:szCs w:val="24"/>
              </w:rPr>
              <w:t xml:space="preserve">nauthorized </w:t>
            </w:r>
            <w:r w:rsidR="0026459D">
              <w:rPr>
                <w:sz w:val="24"/>
                <w:szCs w:val="24"/>
              </w:rPr>
              <w:t xml:space="preserve">use or disclosure </w:t>
            </w:r>
            <w:r w:rsidR="0026459D" w:rsidRPr="00206A0D">
              <w:rPr>
                <w:sz w:val="24"/>
                <w:szCs w:val="24"/>
              </w:rPr>
              <w:t xml:space="preserve">of </w:t>
            </w:r>
            <w:r w:rsidR="0026459D">
              <w:rPr>
                <w:sz w:val="24"/>
                <w:szCs w:val="24"/>
              </w:rPr>
              <w:t xml:space="preserve">Restricted </w:t>
            </w:r>
            <w:r w:rsidR="0082412D" w:rsidRPr="00206A0D">
              <w:rPr>
                <w:sz w:val="24"/>
                <w:szCs w:val="24"/>
              </w:rPr>
              <w:t xml:space="preserve">data </w:t>
            </w:r>
            <w:r w:rsidR="0026459D">
              <w:rPr>
                <w:sz w:val="24"/>
                <w:szCs w:val="24"/>
              </w:rPr>
              <w:t xml:space="preserve">or information presents </w:t>
            </w:r>
            <w:r w:rsidR="0082412D" w:rsidRPr="00206A0D">
              <w:rPr>
                <w:sz w:val="24"/>
                <w:szCs w:val="24"/>
              </w:rPr>
              <w:t xml:space="preserve">a significant level of risk to the </w:t>
            </w:r>
            <w:r w:rsidR="00634511">
              <w:rPr>
                <w:sz w:val="24"/>
                <w:szCs w:val="24"/>
              </w:rPr>
              <w:t>C</w:t>
            </w:r>
            <w:r w:rsidRPr="00206A0D">
              <w:rPr>
                <w:sz w:val="24"/>
                <w:szCs w:val="24"/>
              </w:rPr>
              <w:t>ompany and/</w:t>
            </w:r>
            <w:r w:rsidR="0082412D" w:rsidRPr="00206A0D">
              <w:rPr>
                <w:sz w:val="24"/>
                <w:szCs w:val="24"/>
              </w:rPr>
              <w:t xml:space="preserve">or its </w:t>
            </w:r>
            <w:r w:rsidR="00634511">
              <w:rPr>
                <w:sz w:val="24"/>
                <w:szCs w:val="24"/>
              </w:rPr>
              <w:t>customers.</w:t>
            </w:r>
          </w:p>
        </w:tc>
      </w:tr>
    </w:tbl>
    <w:p w:rsidR="003F5A01" w:rsidRPr="00206A0D" w:rsidRDefault="003F5A01" w:rsidP="00E75290">
      <w:pPr>
        <w:ind w:left="720" w:right="720"/>
        <w:rPr>
          <w:sz w:val="24"/>
          <w:szCs w:val="24"/>
        </w:rPr>
      </w:pPr>
    </w:p>
    <w:p w:rsidR="00206A0D" w:rsidRPr="00206A0D" w:rsidRDefault="00206A0D" w:rsidP="007B20BC">
      <w:pPr>
        <w:ind w:left="720" w:right="720"/>
        <w:rPr>
          <w:sz w:val="24"/>
          <w:szCs w:val="24"/>
        </w:rPr>
      </w:pPr>
    </w:p>
    <w:p w:rsidR="00E82437" w:rsidRPr="00206A0D" w:rsidRDefault="00E82437" w:rsidP="007B20BC">
      <w:pPr>
        <w:ind w:left="720" w:right="720"/>
        <w:rPr>
          <w:sz w:val="24"/>
          <w:szCs w:val="24"/>
        </w:rPr>
      </w:pPr>
    </w:p>
    <w:p w:rsidR="00E82437" w:rsidRPr="00206A0D" w:rsidRDefault="00E82437" w:rsidP="007B20BC">
      <w:pPr>
        <w:ind w:left="720" w:right="720"/>
        <w:rPr>
          <w:sz w:val="24"/>
          <w:szCs w:val="24"/>
        </w:rPr>
      </w:pPr>
    </w:p>
    <w:p w:rsidR="00A21904" w:rsidRPr="00206A0D" w:rsidRDefault="00A21904" w:rsidP="007B20BC">
      <w:pPr>
        <w:ind w:left="720" w:right="720"/>
        <w:rPr>
          <w:sz w:val="24"/>
          <w:szCs w:val="24"/>
        </w:rPr>
      </w:pPr>
    </w:p>
    <w:p w:rsidR="00566B6F" w:rsidRPr="00206A0D" w:rsidRDefault="00566B6F" w:rsidP="007B20BC">
      <w:pPr>
        <w:ind w:left="720" w:right="720"/>
        <w:rPr>
          <w:sz w:val="24"/>
          <w:szCs w:val="24"/>
        </w:rPr>
      </w:pPr>
    </w:p>
    <w:p w:rsidR="00723DF6" w:rsidRPr="00206A0D" w:rsidRDefault="00566B6F" w:rsidP="007B20BC">
      <w:pPr>
        <w:ind w:left="720" w:right="720"/>
        <w:rPr>
          <w:sz w:val="24"/>
          <w:szCs w:val="24"/>
        </w:rPr>
      </w:pPr>
      <w:r w:rsidRPr="00206A0D">
        <w:rPr>
          <w:sz w:val="24"/>
          <w:szCs w:val="24"/>
        </w:rPr>
        <w:t xml:space="preserve">  </w:t>
      </w:r>
      <w:r w:rsidR="00723DF6" w:rsidRPr="00206A0D">
        <w:rPr>
          <w:sz w:val="24"/>
          <w:szCs w:val="24"/>
        </w:rPr>
        <w:t xml:space="preserve">  </w:t>
      </w:r>
    </w:p>
    <w:p w:rsidR="00780D28" w:rsidRPr="00206A0D" w:rsidRDefault="00780D28" w:rsidP="007B20BC">
      <w:pPr>
        <w:ind w:left="720" w:right="720"/>
        <w:rPr>
          <w:sz w:val="24"/>
          <w:szCs w:val="24"/>
        </w:rPr>
      </w:pPr>
    </w:p>
    <w:p w:rsidR="00780D28" w:rsidRPr="00206A0D" w:rsidRDefault="00780D28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 w:right="720"/>
        <w:rPr>
          <w:sz w:val="24"/>
          <w:szCs w:val="24"/>
        </w:rPr>
      </w:pPr>
    </w:p>
    <w:p w:rsidR="00891CF2" w:rsidRDefault="00891CF2" w:rsidP="007B20BC">
      <w:pPr>
        <w:ind w:left="720" w:right="720"/>
        <w:rPr>
          <w:sz w:val="24"/>
          <w:szCs w:val="24"/>
        </w:rPr>
      </w:pPr>
    </w:p>
    <w:p w:rsidR="00A21904" w:rsidRDefault="00A21904" w:rsidP="007B20BC">
      <w:pPr>
        <w:ind w:left="720" w:right="720"/>
        <w:rPr>
          <w:sz w:val="24"/>
          <w:szCs w:val="24"/>
        </w:rPr>
      </w:pPr>
    </w:p>
    <w:p w:rsidR="00A21904" w:rsidRDefault="00A21904" w:rsidP="007B20BC">
      <w:pPr>
        <w:ind w:left="720" w:right="720"/>
        <w:rPr>
          <w:sz w:val="24"/>
          <w:szCs w:val="24"/>
        </w:rPr>
      </w:pPr>
    </w:p>
    <w:p w:rsidR="00A21904" w:rsidRDefault="00A21904" w:rsidP="007B20BC">
      <w:pPr>
        <w:ind w:left="720" w:right="720"/>
        <w:rPr>
          <w:sz w:val="24"/>
          <w:szCs w:val="24"/>
        </w:rPr>
      </w:pPr>
    </w:p>
    <w:p w:rsidR="00A21904" w:rsidRDefault="00A21904" w:rsidP="007B20BC">
      <w:pPr>
        <w:ind w:left="720" w:right="720"/>
        <w:rPr>
          <w:sz w:val="24"/>
          <w:szCs w:val="24"/>
        </w:rPr>
      </w:pPr>
    </w:p>
    <w:p w:rsidR="00A21904" w:rsidRDefault="00A21904" w:rsidP="007B20BC">
      <w:pPr>
        <w:ind w:left="720" w:right="720"/>
        <w:rPr>
          <w:sz w:val="24"/>
          <w:szCs w:val="24"/>
        </w:rPr>
      </w:pPr>
    </w:p>
    <w:p w:rsidR="00A21904" w:rsidRDefault="00A21904" w:rsidP="007B20BC">
      <w:pPr>
        <w:ind w:left="720" w:right="720"/>
        <w:rPr>
          <w:sz w:val="24"/>
          <w:szCs w:val="24"/>
        </w:rPr>
      </w:pPr>
    </w:p>
    <w:p w:rsidR="00243E24" w:rsidRDefault="00243E24" w:rsidP="007B20BC">
      <w:pPr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3E24" w:rsidRPr="00AF0E3A" w:rsidRDefault="00243E24" w:rsidP="00243E24">
      <w:pPr>
        <w:ind w:left="720" w:right="720"/>
        <w:jc w:val="center"/>
        <w:rPr>
          <w:b/>
          <w:sz w:val="24"/>
          <w:szCs w:val="24"/>
        </w:rPr>
      </w:pPr>
      <w:r w:rsidRPr="00AF0E3A">
        <w:rPr>
          <w:b/>
          <w:sz w:val="24"/>
          <w:szCs w:val="24"/>
        </w:rPr>
        <w:lastRenderedPageBreak/>
        <w:t xml:space="preserve">Appendix </w:t>
      </w:r>
      <w:r>
        <w:rPr>
          <w:b/>
          <w:sz w:val="24"/>
          <w:szCs w:val="24"/>
        </w:rPr>
        <w:t>B</w:t>
      </w:r>
      <w:r w:rsidRPr="00AF0E3A">
        <w:rPr>
          <w:b/>
          <w:sz w:val="24"/>
          <w:szCs w:val="24"/>
        </w:rPr>
        <w:t xml:space="preserve"> – Data </w:t>
      </w:r>
      <w:r>
        <w:rPr>
          <w:b/>
          <w:sz w:val="24"/>
          <w:szCs w:val="24"/>
        </w:rPr>
        <w:t>Destruction Matrix</w:t>
      </w:r>
    </w:p>
    <w:p w:rsidR="00891CF2" w:rsidRPr="00206A0D" w:rsidRDefault="00891CF2">
      <w:pPr>
        <w:rPr>
          <w:sz w:val="24"/>
          <w:szCs w:val="24"/>
        </w:rPr>
      </w:pPr>
    </w:p>
    <w:tbl>
      <w:tblPr>
        <w:tblW w:w="9360" w:type="dxa"/>
        <w:tblInd w:w="805" w:type="dxa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350"/>
        <w:gridCol w:w="1260"/>
        <w:gridCol w:w="1170"/>
        <w:gridCol w:w="1440"/>
      </w:tblGrid>
      <w:tr w:rsidR="007B20BC" w:rsidRPr="00243E24" w:rsidTr="007B20BC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243E24" w:rsidP="00243E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Classification / Medium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Hard Drives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B3192C" w:rsidP="00243E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Removable Storage Devices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B3192C" w:rsidP="00243E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Back Up Tapes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Printers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Physical Records</w:t>
            </w:r>
          </w:p>
        </w:tc>
      </w:tr>
      <w:tr w:rsidR="007B20BC" w:rsidRPr="00243E24" w:rsidTr="007B20B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Public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B3192C" w:rsidP="00B319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 xml:space="preserve">1, 2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7B20BC" w:rsidRPr="00243E24" w:rsidTr="007B20B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Private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B3192C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B3192C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1, 2, 4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B20BC" w:rsidRPr="00243E24" w:rsidTr="007B20B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E24">
              <w:rPr>
                <w:rFonts w:ascii="Calibri" w:eastAsia="Times New Roman" w:hAnsi="Calibri" w:cs="Calibri"/>
                <w:b/>
                <w:bCs/>
                <w:color w:val="000000"/>
              </w:rPr>
              <w:t>Restricted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1, 3, 6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B3192C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1, </w:t>
            </w:r>
            <w:r w:rsidR="00243E24" w:rsidRPr="00243E24">
              <w:rPr>
                <w:rFonts w:ascii="Calibri" w:eastAsia="Times New Roman" w:hAnsi="Calibri" w:cs="Calibri"/>
                <w:color w:val="000000"/>
              </w:rPr>
              <w:t>3, 6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3, 6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1, 2, 3, 6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24" w:rsidRPr="00243E24" w:rsidRDefault="00B3192C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1,3</w:t>
            </w:r>
            <w:r w:rsidR="00243E24" w:rsidRPr="00243E2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243E24" w:rsidRPr="00243E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24" w:rsidRPr="00243E24" w:rsidRDefault="00243E24" w:rsidP="00243E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3E24">
              <w:rPr>
                <w:rFonts w:ascii="Calibri" w:eastAsia="Times New Roman" w:hAnsi="Calibri" w:cs="Calibri"/>
                <w:color w:val="000000"/>
              </w:rPr>
              <w:t>3, 6</w:t>
            </w:r>
          </w:p>
        </w:tc>
      </w:tr>
    </w:tbl>
    <w:p w:rsidR="00891CF2" w:rsidRDefault="00891CF2" w:rsidP="00243E24">
      <w:pPr>
        <w:ind w:left="720" w:right="720"/>
        <w:rPr>
          <w:sz w:val="24"/>
          <w:szCs w:val="24"/>
        </w:rPr>
      </w:pPr>
    </w:p>
    <w:p w:rsidR="007B20BC" w:rsidRDefault="007B20BC" w:rsidP="00243E24">
      <w:pPr>
        <w:ind w:left="720" w:right="720"/>
        <w:rPr>
          <w:sz w:val="24"/>
          <w:szCs w:val="24"/>
        </w:rPr>
      </w:pPr>
    </w:p>
    <w:tbl>
      <w:tblPr>
        <w:tblW w:w="4761" w:type="dxa"/>
        <w:tblLook w:val="04A0" w:firstRow="1" w:lastRow="0" w:firstColumn="1" w:lastColumn="0" w:noHBand="0" w:noVBand="1"/>
      </w:tblPr>
      <w:tblGrid>
        <w:gridCol w:w="1011"/>
        <w:gridCol w:w="3750"/>
      </w:tblGrid>
      <w:tr w:rsidR="007B20BC" w:rsidRPr="007B20BC" w:rsidTr="00F10A72">
        <w:trPr>
          <w:trHeight w:val="327"/>
        </w:trPr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ind w:firstLine="7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20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Minimum Destruction Requirements</w:t>
            </w:r>
          </w:p>
        </w:tc>
      </w:tr>
      <w:tr w:rsidR="007B20BC" w:rsidRPr="007B20BC" w:rsidTr="00F10A72">
        <w:trPr>
          <w:trHeight w:val="32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0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Wipe/Clean (USB)</w:t>
            </w:r>
          </w:p>
        </w:tc>
      </w:tr>
      <w:tr w:rsidR="007B20BC" w:rsidRPr="007B20BC" w:rsidTr="00F10A72">
        <w:trPr>
          <w:trHeight w:val="32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0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Reimage/Overwrite (tape)</w:t>
            </w:r>
          </w:p>
        </w:tc>
      </w:tr>
      <w:tr w:rsidR="007B20BC" w:rsidRPr="007B20BC" w:rsidTr="00F10A72">
        <w:trPr>
          <w:trHeight w:val="32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0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Off-site destruction</w:t>
            </w:r>
          </w:p>
        </w:tc>
      </w:tr>
      <w:tr w:rsidR="007B20BC" w:rsidRPr="007B20BC" w:rsidTr="00F10A72">
        <w:trPr>
          <w:trHeight w:val="32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0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On-site destruction</w:t>
            </w:r>
          </w:p>
        </w:tc>
      </w:tr>
      <w:tr w:rsidR="007B20BC" w:rsidRPr="007B20BC" w:rsidTr="00F10A72">
        <w:trPr>
          <w:trHeight w:val="32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0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On-site shredding</w:t>
            </w:r>
          </w:p>
        </w:tc>
      </w:tr>
      <w:tr w:rsidR="007B20BC" w:rsidRPr="007B20BC" w:rsidTr="00F10A72">
        <w:trPr>
          <w:trHeight w:val="32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0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BC" w:rsidRPr="007B20BC" w:rsidRDefault="007B20BC" w:rsidP="007B20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Certificate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B2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estruction required</w:t>
            </w:r>
          </w:p>
        </w:tc>
      </w:tr>
    </w:tbl>
    <w:p w:rsidR="007B20BC" w:rsidRDefault="007B20BC" w:rsidP="00243E24">
      <w:pPr>
        <w:ind w:left="720" w:right="720"/>
        <w:rPr>
          <w:sz w:val="24"/>
          <w:szCs w:val="24"/>
        </w:rPr>
      </w:pPr>
    </w:p>
    <w:p w:rsidR="007B20BC" w:rsidRPr="00206A0D" w:rsidRDefault="007B20BC" w:rsidP="00243E24">
      <w:pPr>
        <w:ind w:left="720" w:right="720"/>
        <w:rPr>
          <w:sz w:val="24"/>
          <w:szCs w:val="24"/>
        </w:rPr>
      </w:pPr>
    </w:p>
    <w:p w:rsidR="00891CF2" w:rsidRPr="00206A0D" w:rsidRDefault="00891CF2" w:rsidP="007B20BC">
      <w:pPr>
        <w:ind w:left="720"/>
        <w:rPr>
          <w:sz w:val="24"/>
          <w:szCs w:val="24"/>
        </w:rPr>
      </w:pPr>
    </w:p>
    <w:p w:rsidR="007B20BC" w:rsidRPr="00206A0D" w:rsidRDefault="007B20BC">
      <w:pPr>
        <w:ind w:left="720"/>
        <w:rPr>
          <w:sz w:val="24"/>
          <w:szCs w:val="24"/>
        </w:rPr>
      </w:pPr>
    </w:p>
    <w:sectPr w:rsidR="007B20BC" w:rsidRPr="00206A0D" w:rsidSect="00780D2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14" w:rsidRDefault="00977514" w:rsidP="00780D28">
      <w:r>
        <w:separator/>
      </w:r>
    </w:p>
  </w:endnote>
  <w:endnote w:type="continuationSeparator" w:id="0">
    <w:p w:rsidR="00977514" w:rsidRDefault="00977514" w:rsidP="0078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2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0BC" w:rsidRDefault="007B2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D28" w:rsidRDefault="0078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14" w:rsidRDefault="00977514" w:rsidP="00780D28">
      <w:r>
        <w:separator/>
      </w:r>
    </w:p>
  </w:footnote>
  <w:footnote w:type="continuationSeparator" w:id="0">
    <w:p w:rsidR="00977514" w:rsidRDefault="00977514" w:rsidP="0078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8"/>
    <w:rsid w:val="00006B92"/>
    <w:rsid w:val="000D506D"/>
    <w:rsid w:val="000F0D49"/>
    <w:rsid w:val="001917CC"/>
    <w:rsid w:val="00192F45"/>
    <w:rsid w:val="001B015B"/>
    <w:rsid w:val="001E4640"/>
    <w:rsid w:val="00202584"/>
    <w:rsid w:val="00206A0D"/>
    <w:rsid w:val="00243E24"/>
    <w:rsid w:val="0026459D"/>
    <w:rsid w:val="0027269A"/>
    <w:rsid w:val="00293E30"/>
    <w:rsid w:val="002B18F6"/>
    <w:rsid w:val="002D27D8"/>
    <w:rsid w:val="002D374A"/>
    <w:rsid w:val="002E0050"/>
    <w:rsid w:val="00316073"/>
    <w:rsid w:val="003830FF"/>
    <w:rsid w:val="003D0668"/>
    <w:rsid w:val="003F5A01"/>
    <w:rsid w:val="00463435"/>
    <w:rsid w:val="00494468"/>
    <w:rsid w:val="00512E18"/>
    <w:rsid w:val="00553314"/>
    <w:rsid w:val="0056542F"/>
    <w:rsid w:val="00566B6F"/>
    <w:rsid w:val="005D443A"/>
    <w:rsid w:val="005D6D54"/>
    <w:rsid w:val="00634511"/>
    <w:rsid w:val="006C7116"/>
    <w:rsid w:val="00723DF6"/>
    <w:rsid w:val="00780D28"/>
    <w:rsid w:val="007A25CC"/>
    <w:rsid w:val="007B20BC"/>
    <w:rsid w:val="007E5E90"/>
    <w:rsid w:val="007F4543"/>
    <w:rsid w:val="00817046"/>
    <w:rsid w:val="008202A9"/>
    <w:rsid w:val="0082412D"/>
    <w:rsid w:val="00891CF2"/>
    <w:rsid w:val="00891EF6"/>
    <w:rsid w:val="008F1BCC"/>
    <w:rsid w:val="00900CE1"/>
    <w:rsid w:val="00977514"/>
    <w:rsid w:val="00985600"/>
    <w:rsid w:val="009974F9"/>
    <w:rsid w:val="009C3A99"/>
    <w:rsid w:val="009D00F7"/>
    <w:rsid w:val="00A1381E"/>
    <w:rsid w:val="00A21904"/>
    <w:rsid w:val="00A37107"/>
    <w:rsid w:val="00A65751"/>
    <w:rsid w:val="00A740BE"/>
    <w:rsid w:val="00A906E6"/>
    <w:rsid w:val="00A92E35"/>
    <w:rsid w:val="00AC307A"/>
    <w:rsid w:val="00AC4700"/>
    <w:rsid w:val="00AF0E3A"/>
    <w:rsid w:val="00B3192C"/>
    <w:rsid w:val="00B41A82"/>
    <w:rsid w:val="00B53910"/>
    <w:rsid w:val="00BA0502"/>
    <w:rsid w:val="00BD47E7"/>
    <w:rsid w:val="00BF5ED0"/>
    <w:rsid w:val="00C0143D"/>
    <w:rsid w:val="00C17F3E"/>
    <w:rsid w:val="00C368EB"/>
    <w:rsid w:val="00CB575D"/>
    <w:rsid w:val="00CC54E4"/>
    <w:rsid w:val="00CF20B4"/>
    <w:rsid w:val="00D220C7"/>
    <w:rsid w:val="00D709AC"/>
    <w:rsid w:val="00DD6789"/>
    <w:rsid w:val="00E03A8E"/>
    <w:rsid w:val="00E03C22"/>
    <w:rsid w:val="00E31442"/>
    <w:rsid w:val="00E75290"/>
    <w:rsid w:val="00E82437"/>
    <w:rsid w:val="00EC18EE"/>
    <w:rsid w:val="00EC40CE"/>
    <w:rsid w:val="00F10A72"/>
    <w:rsid w:val="00F223F4"/>
    <w:rsid w:val="00F260D4"/>
    <w:rsid w:val="00F33A5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D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28"/>
  </w:style>
  <w:style w:type="paragraph" w:styleId="Footer">
    <w:name w:val="footer"/>
    <w:basedOn w:val="Normal"/>
    <w:link w:val="FooterChar"/>
    <w:uiPriority w:val="99"/>
    <w:unhideWhenUsed/>
    <w:rsid w:val="0078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D28"/>
  </w:style>
  <w:style w:type="table" w:styleId="TableGrid">
    <w:name w:val="Table Grid"/>
    <w:basedOn w:val="TableNormal"/>
    <w:uiPriority w:val="39"/>
    <w:rsid w:val="00E8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D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28"/>
  </w:style>
  <w:style w:type="paragraph" w:styleId="Footer">
    <w:name w:val="footer"/>
    <w:basedOn w:val="Normal"/>
    <w:link w:val="FooterChar"/>
    <w:uiPriority w:val="99"/>
    <w:unhideWhenUsed/>
    <w:rsid w:val="0078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D28"/>
  </w:style>
  <w:style w:type="table" w:styleId="TableGrid">
    <w:name w:val="Table Grid"/>
    <w:basedOn w:val="TableNormal"/>
    <w:uiPriority w:val="39"/>
    <w:rsid w:val="00E8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DE077-7969-4A15-A64B-08D862F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Exelis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Nelson, Candace (Unknown)</cp:lastModifiedBy>
  <cp:revision>2</cp:revision>
  <dcterms:created xsi:type="dcterms:W3CDTF">2016-10-13T23:14:00Z</dcterms:created>
  <dcterms:modified xsi:type="dcterms:W3CDTF">2016-10-13T23:14:00Z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