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9E" w:rsidRPr="00EB65F4" w:rsidRDefault="0035559E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ab/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ab/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ab/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ab/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ab/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ab/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ab/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ab/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ab/>
        <w:t>December 12, 2016</w:t>
      </w:r>
    </w:p>
    <w:p w:rsidR="0035559E" w:rsidRPr="00EB65F4" w:rsidRDefault="0035559E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</w:p>
    <w:p w:rsidR="0035559E" w:rsidRPr="00EB65F4" w:rsidRDefault="0035559E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</w:p>
    <w:p w:rsidR="00340B9A" w:rsidRPr="00EB65F4" w:rsidRDefault="0035559E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Richard Flanagan</w:t>
      </w:r>
    </w:p>
    <w:p w:rsidR="00340B9A" w:rsidRPr="00EB65F4" w:rsidRDefault="0035559E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Chairman of the Board</w:t>
      </w:r>
      <w:r w:rsidR="00266C83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of Directors</w:t>
      </w:r>
    </w:p>
    <w:p w:rsidR="00340B9A" w:rsidRPr="00EB65F4" w:rsidRDefault="00340B9A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A+ Corporation</w:t>
      </w:r>
    </w:p>
    <w:p w:rsidR="00340B9A" w:rsidRPr="00EB65F4" w:rsidRDefault="005661C0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810 23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  <w:vertAlign w:val="superscript"/>
        </w:rPr>
        <w:t>rd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Street</w:t>
      </w:r>
    </w:p>
    <w:p w:rsidR="005661C0" w:rsidRPr="00EB65F4" w:rsidRDefault="005661C0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Philadelphia, PA  19122</w:t>
      </w:r>
    </w:p>
    <w:p w:rsidR="005661C0" w:rsidRPr="00EB65F4" w:rsidRDefault="005661C0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</w:p>
    <w:p w:rsidR="005661C0" w:rsidRPr="00EB65F4" w:rsidRDefault="005661C0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</w:p>
    <w:p w:rsidR="005661C0" w:rsidRPr="00EB65F4" w:rsidRDefault="005661C0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Dear Mr. </w:t>
      </w:r>
      <w:r w:rsidR="0035559E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Flanagan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,</w:t>
      </w:r>
    </w:p>
    <w:p w:rsidR="005661C0" w:rsidRPr="00EB65F4" w:rsidRDefault="005661C0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</w:p>
    <w:p w:rsidR="00844920" w:rsidRPr="00EB65F4" w:rsidRDefault="005661C0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We are pleased to respond to the Request for Proposal (RFP) dated November 30, 2016 wherein A+ Corporation (hereinafter “A+”</w:t>
      </w:r>
      <w:r w:rsidR="0061095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or “Company”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) </w:t>
      </w:r>
      <w:r w:rsidR="00BE0DEF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is requesting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bids for the performance of a</w:t>
      </w:r>
      <w:r w:rsidR="009A0C68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specialized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information security audit</w:t>
      </w:r>
      <w:r w:rsidR="006C109E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and associated consulting services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.  </w:t>
      </w:r>
      <w:r w:rsidR="00844920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As </w:t>
      </w:r>
      <w:r w:rsidR="00D96740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a </w:t>
      </w:r>
      <w:r w:rsidR="00844920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global leader in </w:t>
      </w:r>
      <w:r w:rsidR="00BE0DEF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Information Technology </w:t>
      </w:r>
      <w:r w:rsidR="00844920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governance, risk and </w:t>
      </w:r>
      <w:r w:rsidR="005B7E85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compliance </w:t>
      </w:r>
      <w:r w:rsidR="00844920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consulting, CRS InfoSec Solutions (hereinafter “CRS”) has </w:t>
      </w:r>
      <w:r w:rsidR="005B7E85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provided </w:t>
      </w:r>
      <w:r w:rsidR="0061095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IT </w:t>
      </w:r>
      <w:r w:rsidR="005B7E85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audit services to a wide range of industries for </w:t>
      </w:r>
      <w:r w:rsidR="00844920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more than </w:t>
      </w:r>
      <w:r w:rsidR="005B7E85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15 years. </w:t>
      </w:r>
    </w:p>
    <w:p w:rsidR="00844920" w:rsidRPr="00EB65F4" w:rsidRDefault="00844920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  <w:highlight w:val="yellow"/>
        </w:rPr>
      </w:pPr>
    </w:p>
    <w:p w:rsidR="006C109E" w:rsidRPr="00EB65F4" w:rsidRDefault="00BE0DEF" w:rsidP="006C1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The RFP states the A+ Board of Directors and Executive Management seek assurance that the newly implemented IT Data Destruction Policy (hereinafter “Policy”) is sufficiently robust; that appropriate mechanisms have been implemented to enforce and monitor adherence to the Policy; and that e</w:t>
      </w:r>
      <w:r w:rsidR="0035559E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mployees, contractors and other third </w:t>
      </w:r>
      <w:r w:rsidR="00FE5B3A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parties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are in fact complying with the </w:t>
      </w:r>
      <w:r w:rsidR="00D96740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P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olicy.</w:t>
      </w:r>
      <w:r w:rsidR="00D50318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</w:t>
      </w:r>
    </w:p>
    <w:p w:rsidR="006C109E" w:rsidRPr="00EB65F4" w:rsidRDefault="006C109E" w:rsidP="006C1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</w:p>
    <w:p w:rsidR="00340B9A" w:rsidRDefault="00DF73AB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CRS has </w:t>
      </w:r>
      <w:r w:rsidR="004008C1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performed s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imilar </w:t>
      </w:r>
      <w:r w:rsidR="004008C1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audits for </w:t>
      </w:r>
      <w:r w:rsidR="009275A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businesses like A+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who </w:t>
      </w:r>
      <w:r w:rsidR="009A0C68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seek to 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protect their information assets from cradle to grave</w:t>
      </w:r>
      <w:r w:rsidR="004008C1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, and</w:t>
      </w:r>
      <w:r w:rsidR="007677C3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to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prevent data breaches </w:t>
      </w:r>
      <w:r w:rsidR="00D50318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and unauthorized disclosure </w:t>
      </w:r>
      <w:r w:rsidR="009A0C68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resulting from 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improper disposal </w:t>
      </w:r>
      <w:r w:rsidR="006D1B5F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of data storage devices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.</w:t>
      </w:r>
      <w:r w:rsidR="0035559E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</w:t>
      </w:r>
      <w:r w:rsidR="004008C1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As a result, we have identified th</w:t>
      </w:r>
      <w:r w:rsidR="0035559E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e following </w:t>
      </w:r>
      <w:r w:rsidR="004008C1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generic</w:t>
      </w:r>
      <w:r w:rsidR="0035559E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risks associated with the destruction of computing assets that </w:t>
      </w:r>
      <w:r w:rsidR="00D96740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were once</w:t>
      </w:r>
      <w:r w:rsidR="0061095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used to </w:t>
      </w:r>
      <w:r w:rsidR="0035559E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process and store </w:t>
      </w:r>
      <w:r w:rsidR="006D1B5F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personal, </w:t>
      </w:r>
      <w:r w:rsidR="0035559E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confidential </w:t>
      </w:r>
      <w:r w:rsidR="006C109E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and</w:t>
      </w:r>
      <w:r w:rsidR="0035559E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classified information and data:  </w:t>
      </w:r>
    </w:p>
    <w:p w:rsidR="00FB4D27" w:rsidRPr="00EB65F4" w:rsidRDefault="00FB4D27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</w:p>
    <w:p w:rsidR="007677C3" w:rsidRPr="00EB65F4" w:rsidRDefault="006D1B5F" w:rsidP="00FB4D2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The w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rong 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ardware is 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dentified for 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estruction</w:t>
      </w:r>
    </w:p>
    <w:p w:rsidR="009A0C68" w:rsidRPr="00EB65F4" w:rsidRDefault="006D1B5F" w:rsidP="007677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fails 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dequately 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ipe</w:t>
      </w:r>
      <w:r w:rsidR="004008C1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ardware</w:t>
      </w:r>
    </w:p>
    <w:p w:rsidR="004008C1" w:rsidRPr="00EB65F4" w:rsidRDefault="006D1B5F" w:rsidP="007677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The w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rong 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ardware 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is t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ransferred to 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the d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estruction 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endor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22B1" w:rsidRPr="007677C3" w:rsidRDefault="004008C1" w:rsidP="007677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pacing w:val="-2"/>
          <w:sz w:val="24"/>
          <w:szCs w:val="24"/>
        </w:rPr>
      </w:pP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E0DEF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he hardware is lost in transit</w:t>
      </w:r>
      <w:r w:rsidR="00416F9D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77C3" w:rsidRPr="00EB65F4" w:rsidRDefault="006D1B5F" w:rsidP="007677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pacing w:val="-2"/>
          <w:sz w:val="24"/>
          <w:szCs w:val="24"/>
        </w:rPr>
      </w:pP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The destruction vendor f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ail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677C3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estroy </w:t>
      </w:r>
      <w:r w:rsidR="00BE0DEF"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the hardware</w:t>
      </w:r>
    </w:p>
    <w:p w:rsidR="00642E21" w:rsidRDefault="00642E21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pacing w:val="-2"/>
          <w:sz w:val="24"/>
          <w:szCs w:val="24"/>
          <w:highlight w:val="yellow"/>
        </w:rPr>
      </w:pPr>
    </w:p>
    <w:p w:rsidR="008C1C8E" w:rsidRPr="00EB65F4" w:rsidRDefault="00EB65F4" w:rsidP="00D5031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following list includes several </w:t>
      </w:r>
      <w:r w:rsidR="004008C1"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preventive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4008C1"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detective controls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other companies have implemented to support effective destruction of their decommissioned IT hard </w:t>
      </w:r>
      <w:r w:rsidR="00610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drives,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RAM and external storage devices:</w:t>
      </w:r>
    </w:p>
    <w:tbl>
      <w:tblPr>
        <w:tblW w:w="9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880"/>
        <w:gridCol w:w="3780"/>
      </w:tblGrid>
      <w:tr w:rsidR="007916B8" w:rsidRPr="002D463C" w:rsidTr="00EC39A8">
        <w:trPr>
          <w:trHeight w:val="96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916B8" w:rsidRPr="00D50318" w:rsidRDefault="007916B8" w:rsidP="00EC39A8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Control </w:t>
            </w:r>
            <w:r w:rsidR="004544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Type</w:t>
            </w:r>
            <w:r w:rsidR="0045448F" w:rsidRPr="00D50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916B8" w:rsidRPr="00D50318" w:rsidRDefault="007916B8" w:rsidP="002D463C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Why They Are Important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7916B8" w:rsidRPr="00B01ECB" w:rsidRDefault="007916B8" w:rsidP="002D463C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2"/>
                <w:sz w:val="24"/>
                <w:szCs w:val="24"/>
              </w:rPr>
            </w:pPr>
            <w:r w:rsidRPr="00B01EC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2"/>
                <w:sz w:val="24"/>
                <w:szCs w:val="24"/>
              </w:rPr>
              <w:t xml:space="preserve">Evidence </w:t>
            </w:r>
            <w:r w:rsidR="0045448F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2"/>
                <w:sz w:val="24"/>
                <w:szCs w:val="24"/>
              </w:rPr>
              <w:t xml:space="preserve">That </w:t>
            </w:r>
            <w:r w:rsidRPr="00B01EC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2"/>
                <w:sz w:val="24"/>
                <w:szCs w:val="24"/>
              </w:rPr>
              <w:t>Shows Effectiveness</w:t>
            </w:r>
          </w:p>
        </w:tc>
      </w:tr>
      <w:tr w:rsidR="00EC39A8" w:rsidRPr="002D463C" w:rsidTr="00B202AC">
        <w:tc>
          <w:tcPr>
            <w:tcW w:w="9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EC39A8" w:rsidRPr="00D50318" w:rsidRDefault="00EC39A8" w:rsidP="00EC3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5031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Preventive Controls</w:t>
            </w:r>
          </w:p>
        </w:tc>
      </w:tr>
      <w:tr w:rsidR="007916B8" w:rsidRPr="002D463C" w:rsidTr="00D50318">
        <w:trPr>
          <w:trHeight w:val="331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916B8" w:rsidRPr="00D50318" w:rsidRDefault="00EC39A8" w:rsidP="005C52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hAnsi="Times New Roman" w:cs="Times New Roman"/>
                <w:color w:val="000000" w:themeColor="text1"/>
              </w:rPr>
              <w:t>Asset Inventory Management</w:t>
            </w:r>
            <w:r w:rsidR="00FF0729">
              <w:rPr>
                <w:rFonts w:ascii="Times New Roman" w:hAnsi="Times New Roman" w:cs="Times New Roman"/>
                <w:color w:val="000000" w:themeColor="text1"/>
              </w:rPr>
              <w:t xml:space="preserve"> Tool</w:t>
            </w:r>
            <w:r w:rsidRPr="00D503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F0729">
              <w:rPr>
                <w:rFonts w:ascii="Times New Roman" w:hAnsi="Times New Roman" w:cs="Times New Roman"/>
                <w:color w:val="000000" w:themeColor="text1"/>
              </w:rPr>
              <w:t>(AIM)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916B8" w:rsidRPr="00D50318" w:rsidRDefault="005C5255" w:rsidP="00CA49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 xml:space="preserve">Maintains </w:t>
            </w:r>
            <w:r w:rsidR="00B74301" w:rsidRPr="00D5031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>records of physical IT assets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448F" w:rsidRPr="00D50318" w:rsidRDefault="0045448F" w:rsidP="00D5031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71" w:hanging="180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pacing w:val="-2"/>
              </w:rPr>
            </w:pPr>
            <w:r w:rsidRPr="00D50318">
              <w:rPr>
                <w:rFonts w:ascii="Times New Roman" w:eastAsia="Times New Roman" w:hAnsi="Times New Roman" w:cs="Times New Roman"/>
                <w:bCs/>
                <w:color w:val="222222"/>
                <w:spacing w:val="-2"/>
              </w:rPr>
              <w:t>Results of prior independent audits</w:t>
            </w:r>
          </w:p>
          <w:p w:rsidR="0045448F" w:rsidRPr="00D50318" w:rsidRDefault="00AE5673" w:rsidP="00D5031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71" w:hanging="180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2"/>
              </w:rPr>
              <w:t>Effective r</w:t>
            </w:r>
            <w:r w:rsidR="0045448F" w:rsidRPr="00D50318">
              <w:rPr>
                <w:rFonts w:ascii="Times New Roman" w:eastAsia="Times New Roman" w:hAnsi="Times New Roman" w:cs="Times New Roman"/>
                <w:bCs/>
                <w:color w:val="222222"/>
                <w:spacing w:val="-2"/>
              </w:rPr>
              <w:t>ole based access controls</w:t>
            </w:r>
          </w:p>
          <w:p w:rsidR="007916B8" w:rsidRPr="00D50318" w:rsidRDefault="0045448F" w:rsidP="00D5031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71" w:hanging="180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pacing w:val="-2"/>
              </w:rPr>
            </w:pPr>
            <w:r w:rsidRPr="00D50318">
              <w:rPr>
                <w:rFonts w:ascii="Times New Roman" w:eastAsia="Times New Roman" w:hAnsi="Times New Roman" w:cs="Times New Roman"/>
                <w:bCs/>
                <w:color w:val="222222"/>
                <w:spacing w:val="-2"/>
              </w:rPr>
              <w:t>Full and false inclusion testing</w:t>
            </w:r>
          </w:p>
        </w:tc>
      </w:tr>
      <w:tr w:rsidR="007916B8" w:rsidRPr="002D463C" w:rsidTr="00FF0729">
        <w:trPr>
          <w:trHeight w:val="1591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916B8" w:rsidRPr="00D50318" w:rsidRDefault="00EC39A8" w:rsidP="002D46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hAnsi="Times New Roman" w:cs="Times New Roman"/>
                <w:color w:val="000000" w:themeColor="text1"/>
              </w:rPr>
              <w:lastRenderedPageBreak/>
              <w:t>Asset Tagging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916B8" w:rsidRPr="00D50318" w:rsidRDefault="00B74301" w:rsidP="00CA49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Unique identifiers </w:t>
            </w:r>
            <w:r w:rsidR="00CA4977" w:rsidRPr="00D503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used to </w:t>
            </w:r>
            <w:r w:rsidRPr="00D50318">
              <w:rPr>
                <w:rFonts w:ascii="Times New Roman" w:eastAsia="Times New Roman" w:hAnsi="Times New Roman" w:cs="Times New Roman"/>
                <w:color w:val="000000" w:themeColor="text1"/>
              </w:rPr>
              <w:t>support IT asset tracking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673" w:rsidRPr="00D50318" w:rsidRDefault="00AE5673" w:rsidP="00031CBD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222222"/>
                <w:spacing w:val="-2"/>
              </w:rPr>
            </w:pPr>
            <w:r w:rsidRPr="00D50318">
              <w:rPr>
                <w:rFonts w:ascii="Times New Roman" w:eastAsia="Times New Roman" w:hAnsi="Times New Roman" w:cs="Times New Roman"/>
                <w:color w:val="222222"/>
                <w:spacing w:val="-2"/>
              </w:rPr>
              <w:t xml:space="preserve">Compare a sample of physical IT asset barcodes against AIM </w:t>
            </w:r>
            <w:r w:rsidR="00D50318" w:rsidRPr="00D50318">
              <w:rPr>
                <w:rFonts w:ascii="Times New Roman" w:eastAsia="Times New Roman" w:hAnsi="Times New Roman" w:cs="Times New Roman"/>
                <w:b/>
                <w:color w:val="0000FF"/>
                <w:spacing w:val="-2"/>
              </w:rPr>
              <w:t>{a}</w:t>
            </w:r>
          </w:p>
          <w:p w:rsidR="007916B8" w:rsidRDefault="00AE5673" w:rsidP="00031CBD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222222"/>
                <w:spacing w:val="-2"/>
              </w:rPr>
            </w:pPr>
            <w:r w:rsidRPr="00D50318">
              <w:rPr>
                <w:rFonts w:ascii="Times New Roman" w:eastAsia="Times New Roman" w:hAnsi="Times New Roman" w:cs="Times New Roman"/>
                <w:color w:val="222222"/>
                <w:spacing w:val="-2"/>
              </w:rPr>
              <w:t xml:space="preserve">Compare a sample of barcodes from AIM against </w:t>
            </w:r>
            <w:r>
              <w:rPr>
                <w:rFonts w:ascii="Times New Roman" w:eastAsia="Times New Roman" w:hAnsi="Times New Roman" w:cs="Times New Roman"/>
                <w:color w:val="222222"/>
                <w:spacing w:val="-2"/>
              </w:rPr>
              <w:t>p</w:t>
            </w:r>
            <w:r w:rsidRPr="00D50318">
              <w:rPr>
                <w:rFonts w:ascii="Times New Roman" w:eastAsia="Times New Roman" w:hAnsi="Times New Roman" w:cs="Times New Roman"/>
                <w:color w:val="222222"/>
                <w:spacing w:val="-2"/>
              </w:rPr>
              <w:t>hysical IT asset</w:t>
            </w:r>
            <w:r w:rsidR="00D50318">
              <w:rPr>
                <w:rFonts w:ascii="Times New Roman" w:eastAsia="Times New Roman" w:hAnsi="Times New Roman" w:cs="Times New Roman"/>
                <w:color w:val="222222"/>
                <w:spacing w:val="-2"/>
              </w:rPr>
              <w:t xml:space="preserve">s </w:t>
            </w:r>
            <w:r w:rsidR="00D50318" w:rsidRPr="00D50318">
              <w:rPr>
                <w:rFonts w:ascii="Times New Roman" w:eastAsia="Times New Roman" w:hAnsi="Times New Roman" w:cs="Times New Roman"/>
                <w:b/>
                <w:color w:val="0000FF"/>
                <w:spacing w:val="-2"/>
              </w:rPr>
              <w:t>{a}</w:t>
            </w:r>
          </w:p>
          <w:p w:rsidR="00AE5673" w:rsidRPr="00D50318" w:rsidRDefault="00AE5673" w:rsidP="00031CBD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222222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2"/>
              </w:rPr>
              <w:t>Investigate discrepancies</w:t>
            </w:r>
          </w:p>
        </w:tc>
      </w:tr>
      <w:tr w:rsidR="007916B8" w:rsidRPr="002D463C" w:rsidTr="00031CBD">
        <w:trPr>
          <w:trHeight w:val="282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916B8" w:rsidRPr="00D50318" w:rsidRDefault="00EC39A8" w:rsidP="002D46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hAnsi="Times New Roman" w:cs="Times New Roman"/>
                <w:color w:val="000000" w:themeColor="text1"/>
              </w:rPr>
              <w:t xml:space="preserve">Help Desk Ticketing </w:t>
            </w:r>
            <w:r w:rsidR="00FF0729">
              <w:rPr>
                <w:rFonts w:ascii="Times New Roman" w:hAnsi="Times New Roman" w:cs="Times New Roman"/>
                <w:color w:val="000000" w:themeColor="text1"/>
              </w:rPr>
              <w:t xml:space="preserve">Tool </w:t>
            </w:r>
            <w:r w:rsidR="00641DEE">
              <w:rPr>
                <w:rFonts w:ascii="Times New Roman" w:hAnsi="Times New Roman" w:cs="Times New Roman"/>
                <w:color w:val="000000" w:themeColor="text1"/>
              </w:rPr>
              <w:t>(HDT)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916B8" w:rsidRPr="00D50318" w:rsidRDefault="00B74301" w:rsidP="00B743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Monitors the stages of IT asset </w:t>
            </w:r>
            <w:r w:rsidR="00CA4977" w:rsidRPr="00D50318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decommissioning/d</w:t>
            </w:r>
            <w:r w:rsidR="000F762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estruction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673" w:rsidRPr="00031CBD" w:rsidRDefault="00641DEE" w:rsidP="00031C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Examine </w:t>
            </w:r>
            <w:r w:rsid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HDT </w:t>
            </w: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audit trails for a </w:t>
            </w:r>
            <w:r w:rsidR="00AE5673"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sample of </w:t>
            </w: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laptops classified as </w:t>
            </w:r>
            <w:r w:rsid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“</w:t>
            </w: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retired</w:t>
            </w:r>
            <w:r w:rsid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”</w:t>
            </w: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in AIM</w:t>
            </w:r>
            <w:r w:rsidR="00AE5673"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</w:t>
            </w:r>
          </w:p>
          <w:p w:rsidR="00641DEE" w:rsidRPr="00031CBD" w:rsidRDefault="00641DEE" w:rsidP="00031C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Ascertain HDT classifies a sample of devices pending destruction as “decommissioned” </w:t>
            </w:r>
          </w:p>
          <w:p w:rsidR="007916B8" w:rsidRPr="00D50318" w:rsidRDefault="00F02F29" w:rsidP="00031CB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</w:rPr>
            </w:pP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Confirm help desk</w:t>
            </w:r>
            <w:r w:rsidR="00641DEE"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tickets </w:t>
            </w: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were</w:t>
            </w:r>
            <w:r w:rsidR="00641DEE"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closed for a sample of </w:t>
            </w: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destroyed </w:t>
            </w:r>
            <w:r w:rsidR="00641DEE"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equipment </w:t>
            </w: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per </w:t>
            </w:r>
            <w:r w:rsidR="00641DEE"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select Certificates of Destruction</w:t>
            </w:r>
            <w:r w:rsidR="00FF0729"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F0729" w:rsidRPr="00FF0729">
              <w:rPr>
                <w:rFonts w:ascii="Times New Roman" w:eastAsia="Times New Roman" w:hAnsi="Times New Roman" w:cs="Times New Roman"/>
                <w:b/>
                <w:color w:val="0000FF"/>
                <w:spacing w:val="-2"/>
              </w:rPr>
              <w:t>{b}</w:t>
            </w:r>
          </w:p>
        </w:tc>
      </w:tr>
      <w:tr w:rsidR="007916B8" w:rsidRPr="002D463C" w:rsidTr="00CA4977">
        <w:trPr>
          <w:trHeight w:val="1393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916B8" w:rsidRPr="00D50318" w:rsidRDefault="00EC39A8" w:rsidP="007916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hAnsi="Times New Roman" w:cs="Times New Roman"/>
                <w:color w:val="000000" w:themeColor="text1"/>
              </w:rPr>
              <w:t>Service Level Agreement</w:t>
            </w:r>
            <w:r w:rsidR="00F02F29">
              <w:rPr>
                <w:rFonts w:ascii="Times New Roman" w:hAnsi="Times New Roman" w:cs="Times New Roman"/>
                <w:color w:val="000000" w:themeColor="text1"/>
              </w:rPr>
              <w:t xml:space="preserve"> (SLA)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7916B8" w:rsidRPr="00D50318" w:rsidRDefault="00CA4977" w:rsidP="007916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eastAsia="Times New Roman" w:hAnsi="Times New Roman" w:cs="Times New Roman"/>
                <w:color w:val="000000" w:themeColor="text1"/>
              </w:rPr>
              <w:t>Defines agreed upon timing, destruction methods, mutual responsibilities and sanctions; stipul</w:t>
            </w:r>
            <w:r w:rsidR="000F762D">
              <w:rPr>
                <w:rFonts w:ascii="Times New Roman" w:eastAsia="Times New Roman" w:hAnsi="Times New Roman" w:cs="Times New Roman"/>
                <w:color w:val="000000" w:themeColor="text1"/>
              </w:rPr>
              <w:t>ates minimum security standards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F29" w:rsidRPr="00031CBD" w:rsidRDefault="00F02F29" w:rsidP="00031CB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>Results of prior independent audits</w:t>
            </w:r>
          </w:p>
          <w:p w:rsidR="00F02F29" w:rsidRPr="00031CBD" w:rsidRDefault="00F02F29" w:rsidP="00031CB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>Ensure SLA defines mutual responsibilities of the parties</w:t>
            </w:r>
          </w:p>
          <w:p w:rsidR="00F02F29" w:rsidRPr="00031CBD" w:rsidRDefault="00F02F29" w:rsidP="00031CB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>Verify inclusion of agreed upon destruction methods</w:t>
            </w:r>
          </w:p>
          <w:p w:rsidR="007916B8" w:rsidRPr="00031CBD" w:rsidRDefault="00F02F29" w:rsidP="00031CB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>Assess sufficiency of sanctions for non-compliance</w:t>
            </w:r>
          </w:p>
        </w:tc>
      </w:tr>
      <w:tr w:rsidR="00D50318" w:rsidRPr="002D463C" w:rsidTr="000F762D">
        <w:trPr>
          <w:trHeight w:val="120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0318" w:rsidRPr="00D50318" w:rsidRDefault="00D50318" w:rsidP="007916B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On-site Destruction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0318" w:rsidRPr="00D50318" w:rsidRDefault="00D50318" w:rsidP="007916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Prevents decommissioned IT assets from being lost/stolen during transfer to the data destruction </w:t>
            </w:r>
            <w:r w:rsidR="000F762D">
              <w:rPr>
                <w:rFonts w:ascii="Times New Roman" w:eastAsia="Times New Roman" w:hAnsi="Times New Roman" w:cs="Times New Roman"/>
                <w:color w:val="000000" w:themeColor="text1"/>
              </w:rPr>
              <w:t>vendor site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50318" w:rsidRPr="00031CBD" w:rsidRDefault="00D50318" w:rsidP="00031CB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>Ensure provision for on-site destruction has been incorporated into the SLA</w:t>
            </w:r>
          </w:p>
        </w:tc>
      </w:tr>
      <w:tr w:rsidR="00EC39A8" w:rsidRPr="002D463C" w:rsidTr="00555BA2">
        <w:tc>
          <w:tcPr>
            <w:tcW w:w="9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39A8" w:rsidRPr="00D50318" w:rsidRDefault="00EC39A8" w:rsidP="00031CBD">
            <w:pPr>
              <w:spacing w:after="0" w:line="240" w:lineRule="auto"/>
              <w:ind w:left="360" w:right="16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</w:pPr>
            <w:r w:rsidRPr="00D5031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Detective Controls</w:t>
            </w:r>
          </w:p>
        </w:tc>
      </w:tr>
      <w:tr w:rsidR="00EC39A8" w:rsidRPr="002D463C" w:rsidTr="000F762D">
        <w:trPr>
          <w:trHeight w:val="988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39A8" w:rsidRPr="00D50318" w:rsidRDefault="00CA4977" w:rsidP="005C52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hAnsi="Times New Roman" w:cs="Times New Roman"/>
                <w:color w:val="000000" w:themeColor="text1"/>
              </w:rPr>
              <w:t>Physical Inventories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39A8" w:rsidRPr="00D50318" w:rsidRDefault="00CA4977" w:rsidP="007916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eastAsia="Times New Roman" w:hAnsi="Times New Roman" w:cs="Times New Roman"/>
                <w:color w:val="000000" w:themeColor="text1"/>
              </w:rPr>
              <w:t>Verif</w:t>
            </w:r>
            <w:r w:rsidR="00B01ECB" w:rsidRPr="00D50318">
              <w:rPr>
                <w:rFonts w:ascii="Times New Roman" w:eastAsia="Times New Roman" w:hAnsi="Times New Roman" w:cs="Times New Roman"/>
                <w:color w:val="000000" w:themeColor="text1"/>
              </w:rPr>
              <w:t>ies</w:t>
            </w:r>
            <w:r w:rsidRPr="00D503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existence; </w:t>
            </w:r>
            <w:r w:rsidR="00B01ECB" w:rsidRPr="00D503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thereby </w:t>
            </w:r>
            <w:r w:rsidRPr="00D50318">
              <w:rPr>
                <w:rFonts w:ascii="Times New Roman" w:eastAsia="Times New Roman" w:hAnsi="Times New Roman" w:cs="Times New Roman"/>
                <w:color w:val="000000" w:themeColor="text1"/>
              </w:rPr>
              <w:t>validat</w:t>
            </w:r>
            <w:r w:rsidR="00B01ECB" w:rsidRPr="00D50318">
              <w:rPr>
                <w:rFonts w:ascii="Times New Roman" w:eastAsia="Times New Roman" w:hAnsi="Times New Roman" w:cs="Times New Roman"/>
                <w:color w:val="000000" w:themeColor="text1"/>
              </w:rPr>
              <w:t>ing that the</w:t>
            </w:r>
            <w:r w:rsidR="000F76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right IT assets were destroyed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02F29" w:rsidRPr="00031CBD" w:rsidRDefault="00F02F29" w:rsidP="00031CB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>Results of prior independent audits and oversight</w:t>
            </w:r>
          </w:p>
          <w:p w:rsidR="00EC39A8" w:rsidRPr="000F762D" w:rsidRDefault="00D50318" w:rsidP="00031CB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 xml:space="preserve">Refer to </w:t>
            </w:r>
            <w:r w:rsidR="000F762D" w:rsidRPr="00D50318">
              <w:rPr>
                <w:rFonts w:ascii="Times New Roman" w:eastAsia="Times New Roman" w:hAnsi="Times New Roman" w:cs="Times New Roman"/>
                <w:b/>
                <w:color w:val="0000FF"/>
                <w:spacing w:val="-2"/>
              </w:rPr>
              <w:t>{a}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pacing w:val="-2"/>
              </w:rPr>
              <w:t xml:space="preserve"> </w:t>
            </w:r>
            <w:r w:rsidRPr="00031CB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>above</w:t>
            </w:r>
          </w:p>
        </w:tc>
      </w:tr>
      <w:tr w:rsidR="00EC39A8" w:rsidRPr="002D463C" w:rsidTr="009275A4">
        <w:trPr>
          <w:trHeight w:val="1609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39A8" w:rsidRPr="00D50318" w:rsidRDefault="00EC39A8" w:rsidP="005C52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hAnsi="Times New Roman" w:cs="Times New Roman"/>
                <w:color w:val="000000" w:themeColor="text1"/>
              </w:rPr>
              <w:t>Independent Sampling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39A8" w:rsidRPr="00D50318" w:rsidRDefault="00B01ECB" w:rsidP="007916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IT management ensures data storage devices are properly wiped prior to transfer to </w:t>
            </w:r>
            <w:r w:rsidR="000F762D">
              <w:rPr>
                <w:rFonts w:ascii="Times New Roman" w:eastAsia="Times New Roman" w:hAnsi="Times New Roman" w:cs="Times New Roman"/>
                <w:color w:val="000000" w:themeColor="text1"/>
              </w:rPr>
              <w:t>the hardware destruction vendor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762D" w:rsidRPr="00031CBD" w:rsidRDefault="000F762D" w:rsidP="00031C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Review results of tests performed by client to ensure proper wiping</w:t>
            </w:r>
          </w:p>
          <w:p w:rsidR="000F762D" w:rsidRPr="00031CBD" w:rsidRDefault="000F762D" w:rsidP="00031C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Reperform tests performed by client to ensure consistent results</w:t>
            </w:r>
          </w:p>
          <w:p w:rsidR="00EC39A8" w:rsidRPr="00031CBD" w:rsidRDefault="000F762D" w:rsidP="00031C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Investigate discrepancies</w:t>
            </w:r>
          </w:p>
        </w:tc>
      </w:tr>
      <w:tr w:rsidR="00EC39A8" w:rsidRPr="002D463C" w:rsidTr="00EC39A8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39A8" w:rsidRPr="00D50318" w:rsidRDefault="00EC39A8" w:rsidP="007916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hAnsi="Times New Roman" w:cs="Times New Roman"/>
                <w:color w:val="000000" w:themeColor="text1"/>
              </w:rPr>
              <w:t>IT Oversight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C39A8" w:rsidRPr="000F762D" w:rsidRDefault="000F762D" w:rsidP="007916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IT visually verifies that the</w:t>
            </w:r>
            <w:r w:rsidR="00B01ECB" w:rsidRPr="000F76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1ECB" w:rsidRPr="000F762D">
              <w:rPr>
                <w:rFonts w:ascii="Times New Roman" w:eastAsia="Times New Roman" w:hAnsi="Times New Roman" w:cs="Times New Roman"/>
                <w:color w:val="000000" w:themeColor="text1"/>
              </w:rPr>
              <w:t>vendor match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="00FF0729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="00B01ECB" w:rsidRPr="000F76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F07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AIM list of assets to be destroyed </w:t>
            </w:r>
            <w:r w:rsidR="00FF0729" w:rsidRPr="00FF0729">
              <w:rPr>
                <w:rFonts w:ascii="Times New Roman" w:eastAsia="Times New Roman" w:hAnsi="Times New Roman" w:cs="Times New Roman"/>
                <w:b/>
                <w:color w:val="0000FF"/>
              </w:rPr>
              <w:t>{</w:t>
            </w:r>
            <w:r w:rsidR="009275A4">
              <w:rPr>
                <w:rFonts w:ascii="Times New Roman" w:eastAsia="Times New Roman" w:hAnsi="Times New Roman" w:cs="Times New Roman"/>
                <w:b/>
                <w:color w:val="0000FF"/>
              </w:rPr>
              <w:t>c</w:t>
            </w:r>
            <w:r w:rsidR="00FF0729" w:rsidRPr="00FF0729">
              <w:rPr>
                <w:rFonts w:ascii="Times New Roman" w:eastAsia="Times New Roman" w:hAnsi="Times New Roman" w:cs="Times New Roman"/>
                <w:b/>
                <w:color w:val="0000FF"/>
              </w:rPr>
              <w:t>}</w:t>
            </w:r>
            <w:r w:rsidR="00FF0729" w:rsidRPr="00FF0729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 w:rsidR="00B01ECB" w:rsidRPr="000F76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against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physical </w:t>
            </w:r>
            <w:r w:rsidR="00FF07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IT </w:t>
            </w:r>
            <w:r w:rsidR="00B01ECB" w:rsidRPr="000F762D">
              <w:rPr>
                <w:rFonts w:ascii="Times New Roman" w:eastAsia="Times New Roman" w:hAnsi="Times New Roman" w:cs="Times New Roman"/>
                <w:color w:val="000000" w:themeColor="text1"/>
              </w:rPr>
              <w:t>asset</w:t>
            </w:r>
            <w:r w:rsidR="00FF0729">
              <w:rPr>
                <w:rFonts w:ascii="Times New Roman" w:eastAsia="Times New Roman" w:hAnsi="Times New Roman" w:cs="Times New Roman"/>
                <w:color w:val="000000" w:themeColor="text1"/>
              </w:rPr>
              <w:t>s rendered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39A8" w:rsidRPr="00031CBD" w:rsidRDefault="000F762D" w:rsidP="00031CB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Interview employee(s) who </w:t>
            </w:r>
            <w:r w:rsidR="00FF0729"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oversee vendor matches</w:t>
            </w:r>
          </w:p>
          <w:p w:rsidR="000F762D" w:rsidRPr="00031CBD" w:rsidRDefault="000F762D" w:rsidP="00031CB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Visually observe </w:t>
            </w:r>
            <w:r w:rsidR="00FF0729"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IT </w:t>
            </w: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vendor oversight</w:t>
            </w:r>
          </w:p>
        </w:tc>
      </w:tr>
      <w:tr w:rsidR="00FF0729" w:rsidRPr="002D463C" w:rsidTr="00FF0729">
        <w:trPr>
          <w:trHeight w:val="1231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F0729" w:rsidRPr="00D50318" w:rsidRDefault="00FF0729" w:rsidP="00FF0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hAnsi="Times New Roman" w:cs="Times New Roman"/>
                <w:color w:val="000000" w:themeColor="text1"/>
              </w:rPr>
              <w:lastRenderedPageBreak/>
              <w:t>Visual Verification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F0729" w:rsidRPr="00D50318" w:rsidRDefault="00FF0729" w:rsidP="00FF0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hAnsi="Times New Roman" w:cs="Times New Roman"/>
                <w:color w:val="000000" w:themeColor="text1"/>
              </w:rPr>
              <w:t>Real time, independent IT verification that hardware destruction ven</w:t>
            </w:r>
            <w:r>
              <w:rPr>
                <w:rFonts w:ascii="Times New Roman" w:hAnsi="Times New Roman" w:cs="Times New Roman"/>
                <w:color w:val="000000" w:themeColor="text1"/>
              </w:rPr>
              <w:t>dor actually destroys IT assets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0729" w:rsidRPr="00031CBD" w:rsidRDefault="00FF0729" w:rsidP="00031CB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Interview employee(s) who visually verify IT asset destruction</w:t>
            </w:r>
          </w:p>
          <w:p w:rsidR="00FF0729" w:rsidRPr="000F762D" w:rsidRDefault="00FF0729" w:rsidP="00031CB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222222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Visually observe IT asset destruction</w:t>
            </w:r>
          </w:p>
        </w:tc>
      </w:tr>
      <w:tr w:rsidR="00FF0729" w:rsidRPr="002D463C" w:rsidTr="00031CBD">
        <w:trPr>
          <w:trHeight w:val="174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F0729" w:rsidRPr="00D50318" w:rsidRDefault="00FF0729" w:rsidP="00FF0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hAnsi="Times New Roman" w:cs="Times New Roman"/>
                <w:color w:val="000000" w:themeColor="text1"/>
              </w:rPr>
              <w:t xml:space="preserve">Certificate of Destruction </w:t>
            </w:r>
            <w:r w:rsidRPr="00D967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  <w:r w:rsidRPr="00D96740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]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F0729" w:rsidRPr="00D50318" w:rsidRDefault="00FF0729" w:rsidP="00FF0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03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Confirms the right IT assets were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appropriately destroyed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275A4" w:rsidRDefault="009275A4" w:rsidP="00031CB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222222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 xml:space="preserve">Refer to </w:t>
            </w:r>
            <w:r w:rsidRPr="00D50318">
              <w:rPr>
                <w:rFonts w:ascii="Times New Roman" w:eastAsia="Times New Roman" w:hAnsi="Times New Roman" w:cs="Times New Roman"/>
                <w:b/>
                <w:color w:val="0000FF"/>
                <w:spacing w:val="-2"/>
              </w:rPr>
              <w:t>{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pacing w:val="-2"/>
              </w:rPr>
              <w:t>b</w:t>
            </w:r>
            <w:r w:rsidRPr="00D50318">
              <w:rPr>
                <w:rFonts w:ascii="Times New Roman" w:eastAsia="Times New Roman" w:hAnsi="Times New Roman" w:cs="Times New Roman"/>
                <w:b/>
                <w:color w:val="0000FF"/>
                <w:spacing w:val="-2"/>
              </w:rPr>
              <w:t>}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pacing w:val="-2"/>
              </w:rPr>
              <w:t xml:space="preserve"> </w:t>
            </w:r>
            <w:r w:rsidRPr="00031CB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>above</w:t>
            </w:r>
          </w:p>
          <w:p w:rsidR="00FF0729" w:rsidRPr="00031CBD" w:rsidRDefault="009275A4" w:rsidP="00031CB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Match </w:t>
            </w:r>
            <w:r w:rsidR="00FF0729" w:rsidRPr="00031CBD">
              <w:rPr>
                <w:rFonts w:ascii="Times New Roman" w:eastAsia="Times New Roman" w:hAnsi="Times New Roman" w:cs="Times New Roman"/>
                <w:color w:val="000000" w:themeColor="text1"/>
              </w:rPr>
              <w:t>AIM list of assets to be destroyed</w:t>
            </w:r>
            <w:r w:rsidRPr="00031CB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FF0729">
              <w:rPr>
                <w:rFonts w:ascii="Times New Roman" w:eastAsia="Times New Roman" w:hAnsi="Times New Roman" w:cs="Times New Roman"/>
                <w:b/>
                <w:color w:val="0000FF"/>
              </w:rPr>
              <w:t>{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c</w:t>
            </w:r>
            <w:r w:rsidRPr="00FF0729">
              <w:rPr>
                <w:rFonts w:ascii="Times New Roman" w:eastAsia="Times New Roman" w:hAnsi="Times New Roman" w:cs="Times New Roman"/>
                <w:b/>
                <w:color w:val="0000FF"/>
              </w:rPr>
              <w:t>}</w:t>
            </w: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Pr="00031CB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against relevant </w:t>
            </w:r>
            <w:r w:rsidRPr="00031CBD">
              <w:rPr>
                <w:rFonts w:ascii="Times New Roman" w:hAnsi="Times New Roman" w:cs="Times New Roman"/>
                <w:color w:val="000000" w:themeColor="text1"/>
              </w:rPr>
              <w:t>Certificate(s) of Destruction</w:t>
            </w:r>
          </w:p>
          <w:p w:rsidR="009275A4" w:rsidRPr="00FF0729" w:rsidRDefault="009275A4" w:rsidP="00031CB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71" w:right="166" w:hanging="180"/>
              <w:textAlignment w:val="baseline"/>
              <w:rPr>
                <w:rFonts w:ascii="Times New Roman" w:eastAsia="Times New Roman" w:hAnsi="Times New Roman" w:cs="Times New Roman"/>
                <w:color w:val="222222"/>
                <w:spacing w:val="-2"/>
              </w:rPr>
            </w:pP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Ensure Department Head signed Certificate</w:t>
            </w:r>
            <w:r w:rsidR="00031CBD" w:rsidRPr="00031CBD">
              <w:rPr>
                <w:rFonts w:ascii="Times New Roman" w:hAnsi="Times New Roman" w:cs="Times New Roman"/>
                <w:color w:val="000000" w:themeColor="text1"/>
              </w:rPr>
              <w:t>(s) of Destruction</w:t>
            </w:r>
            <w:r w:rsidRPr="00031CBD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</w:t>
            </w:r>
          </w:p>
        </w:tc>
      </w:tr>
    </w:tbl>
    <w:p w:rsidR="00416F9D" w:rsidRPr="005277F7" w:rsidRDefault="002D463C" w:rsidP="00031C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D46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="00416F9D" w:rsidRPr="00416F9D">
        <w:rPr>
          <w:rFonts w:ascii="Times New Roman" w:hAnsi="Times New Roman" w:cs="Times New Roman"/>
          <w:b/>
          <w:color w:val="0000FF"/>
          <w:sz w:val="20"/>
          <w:szCs w:val="20"/>
        </w:rPr>
        <w:t>[</w:t>
      </w:r>
      <w:r w:rsidR="00D50318">
        <w:rPr>
          <w:rFonts w:ascii="Times New Roman" w:hAnsi="Times New Roman" w:cs="Times New Roman"/>
          <w:b/>
          <w:color w:val="0000FF"/>
          <w:sz w:val="20"/>
          <w:szCs w:val="20"/>
        </w:rPr>
        <w:t>1</w:t>
      </w:r>
      <w:r w:rsidR="00416F9D" w:rsidRPr="00416F9D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] </w:t>
      </w:r>
      <w:r w:rsidR="00416F9D" w:rsidRPr="005277F7">
        <w:rPr>
          <w:rFonts w:ascii="Times New Roman" w:hAnsi="Times New Roman" w:cs="Times New Roman"/>
          <w:color w:val="000000" w:themeColor="text1"/>
          <w:sz w:val="20"/>
          <w:szCs w:val="20"/>
        </w:rPr>
        <w:t>See</w:t>
      </w:r>
      <w:r w:rsidR="00416F9D" w:rsidRPr="00416F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Exhibit A </w:t>
      </w:r>
      <w:r w:rsidR="00416F9D" w:rsidRPr="0052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 a </w:t>
      </w:r>
      <w:r w:rsidR="00416F9D" w:rsidRPr="005277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Sample Certificate of Destruction.</w:t>
      </w:r>
    </w:p>
    <w:p w:rsidR="00416F9D" w:rsidRPr="00416F9D" w:rsidRDefault="00416F9D" w:rsidP="0064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42E21" w:rsidRPr="00EB65F4" w:rsidRDefault="00BF5F47" w:rsidP="00642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CRS proposes comparison of these controls against </w:t>
      </w:r>
      <w:r w:rsidR="00610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comparable controls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that have been implemented by </w:t>
      </w:r>
      <w:r w:rsidR="00610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your Company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to evaluate whether </w:t>
      </w:r>
      <w:r w:rsidR="006109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42E21" w:rsidRPr="00EB65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support Policy compliance and to identify potential gaps and vulnerabilities.</w:t>
      </w:r>
      <w:r w:rsidR="00642E21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We also propose limited tests of A+ </w:t>
      </w:r>
      <w:r w:rsidR="0061095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IT data destruction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controls </w:t>
      </w:r>
      <w:r w:rsidR="00031CBD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as indicated above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to </w:t>
      </w:r>
      <w:r w:rsidR="00031CBD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independently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assess </w:t>
      </w:r>
      <w:r w:rsidR="0061095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adequacy of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design and to determine whether they are operating effectively.</w:t>
      </w:r>
    </w:p>
    <w:p w:rsidR="00416F9D" w:rsidRPr="00EB65F4" w:rsidRDefault="00416F9D" w:rsidP="0041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</w:p>
    <w:p w:rsidR="006C109E" w:rsidRPr="00EB65F4" w:rsidRDefault="006C109E" w:rsidP="00D5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The RFP also establishes that A+ seeks assurance about the following characteristics of </w:t>
      </w:r>
      <w:r w:rsidR="0061095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the 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Policy:</w:t>
      </w:r>
    </w:p>
    <w:p w:rsidR="006C109E" w:rsidRPr="00EB65F4" w:rsidRDefault="005277F7" w:rsidP="006C109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The Policy appropriately </w:t>
      </w:r>
      <w:r w:rsidR="006C109E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aligns with A+ </w:t>
      </w:r>
      <w:r w:rsidR="00FB4D2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business and IT objectives</w:t>
      </w:r>
      <w:r w:rsidR="006C109E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;</w:t>
      </w:r>
    </w:p>
    <w:p w:rsidR="006C109E" w:rsidRPr="00EB65F4" w:rsidRDefault="00D96740" w:rsidP="006C109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The Policy</w:t>
      </w:r>
      <w:r w:rsidR="006C109E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supports compliance with relevant laws and regulations; and</w:t>
      </w:r>
    </w:p>
    <w:p w:rsidR="006C109E" w:rsidRPr="00EB65F4" w:rsidRDefault="006C109E" w:rsidP="006C109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Existing policies, procedures and controls adequately support Policy enactment.</w:t>
      </w:r>
    </w:p>
    <w:p w:rsidR="006C109E" w:rsidRPr="00EB65F4" w:rsidRDefault="006C109E" w:rsidP="006C109E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</w:p>
    <w:p w:rsidR="00642E21" w:rsidRDefault="006C109E" w:rsidP="00FB4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CRS will </w:t>
      </w:r>
      <w:r w:rsidR="00300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compare</w:t>
      </w:r>
      <w:r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Policy </w:t>
      </w:r>
      <w:r w:rsidR="00300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against </w:t>
      </w:r>
      <w:r w:rsidR="00FB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Company’s most current strategic and business plans and</w:t>
      </w:r>
      <w:r w:rsidR="00300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assess propriety of alignment, and we</w:t>
      </w:r>
      <w:r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examine the Policy from a compliance perspective to verify applicable laws and regulations have been effectively addressed.  </w:t>
      </w:r>
      <w:r w:rsidR="00300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300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will </w:t>
      </w:r>
      <w:r w:rsidR="00300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then compare </w:t>
      </w:r>
      <w:r w:rsidR="00300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Policy </w:t>
      </w:r>
      <w:r w:rsidR="00300887"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contents against effective solutions that have been successfully implemented by </w:t>
      </w:r>
      <w:r w:rsidR="00FB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</w:t>
      </w:r>
      <w:r w:rsidR="00300887"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clients and those that are deemed “best practices” by other InfoSec industry experts.  </w:t>
      </w:r>
      <w:r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will </w:t>
      </w:r>
      <w:r w:rsidR="00300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also</w:t>
      </w:r>
      <w:r w:rsidR="0061095E"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 r</w:t>
      </w: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elated policies, procedures and practices that govern Information Security; Removable Media Usage; Data Classification and Retention; and Physical Asset Inventories and assess whether they sufficiently support adaptation to the behaviors prescribed by the Policy.</w:t>
      </w:r>
      <w:r w:rsidR="00FB4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0088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Finally, CRS will </w:t>
      </w:r>
      <w:r w:rsidR="00642E21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consider whether the </w:t>
      </w:r>
      <w:r w:rsidR="0030088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A+ has implemented the </w:t>
      </w:r>
      <w:r w:rsidR="00642E21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following types of controls </w:t>
      </w:r>
      <w:r w:rsidR="0030088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that may </w:t>
      </w:r>
      <w:r w:rsidR="00642E21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further support Policy compliance:</w:t>
      </w:r>
    </w:p>
    <w:p w:rsidR="00FB4D27" w:rsidRPr="00EB65F4" w:rsidRDefault="00FB4D27" w:rsidP="00FB4D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42E21" w:rsidRPr="00EB65F4" w:rsidRDefault="00642E21" w:rsidP="00FB4D27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Incompatible functions are adequately segregated.</w:t>
      </w:r>
    </w:p>
    <w:p w:rsidR="00642E21" w:rsidRPr="00EB65F4" w:rsidRDefault="00642E21" w:rsidP="00642E21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Help Desk tickets are routinely monitored to ensure timely closure.</w:t>
      </w:r>
    </w:p>
    <w:p w:rsidR="00642E21" w:rsidRPr="00EB65F4" w:rsidRDefault="00642E21" w:rsidP="00642E21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Independent oversight of physical IT asset inventories.</w:t>
      </w:r>
    </w:p>
    <w:p w:rsidR="00642E21" w:rsidRPr="00EB65F4" w:rsidRDefault="00642E21" w:rsidP="00642E21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Asset Inventory Management and Help Desk Ticketing systems are independently audited.</w:t>
      </w:r>
    </w:p>
    <w:p w:rsidR="00642E21" w:rsidRPr="00EB65F4" w:rsidRDefault="00642E21" w:rsidP="00642E21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Internal/external audits of compliance with Service Level Agreements. </w:t>
      </w:r>
    </w:p>
    <w:p w:rsidR="00642E21" w:rsidRPr="00EB65F4" w:rsidRDefault="00642E21" w:rsidP="00642E21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F4">
        <w:rPr>
          <w:rFonts w:ascii="Times New Roman" w:hAnsi="Times New Roman" w:cs="Times New Roman"/>
          <w:color w:val="000000" w:themeColor="text1"/>
          <w:sz w:val="24"/>
          <w:szCs w:val="24"/>
        </w:rPr>
        <w:t>Robust employee training and performance management functions.</w:t>
      </w:r>
    </w:p>
    <w:p w:rsidR="00FB4D27" w:rsidRDefault="00FB4D27" w:rsidP="00FB4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</w:p>
    <w:p w:rsidR="00BF5F47" w:rsidRDefault="00964611" w:rsidP="00FB4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lastRenderedPageBreak/>
        <w:t xml:space="preserve">In the event </w:t>
      </w:r>
      <w:r w:rsidR="00BF5F4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CRS encounter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s</w:t>
      </w:r>
      <w:r w:rsidR="00BF5F4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any significant risks throughout performance of this engagement, we will notify you immediately.  Otherwise, we will provide a written report to Executive Management and the Board of Directors upon audit conclusion that contains the results of our review and testing, accompanied by recommendations for improvement (if applicable). 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An independent consulting division of </w:t>
      </w:r>
      <w:r w:rsidR="00BF5F4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CRS is also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available to</w:t>
      </w:r>
      <w:r w:rsidR="00BF5F4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assist with implement</w:t>
      </w:r>
      <w:r w:rsidR="0061095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ing</w:t>
      </w:r>
      <w:r w:rsidR="00BF5F4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such recommendations.    </w:t>
      </w:r>
    </w:p>
    <w:p w:rsidR="00BF5F47" w:rsidRDefault="00BF5F47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</w:p>
    <w:p w:rsidR="00EB65F4" w:rsidRPr="00EB65F4" w:rsidRDefault="00642E21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Our mission is to </w:t>
      </w:r>
      <w:r w:rsidR="00CE7F66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create a long-standing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, mutually beneficial professional </w:t>
      </w:r>
      <w:r w:rsidR="00CE7F66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relationship with </w:t>
      </w:r>
      <w:r w:rsidR="00D96740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your Company.</w:t>
      </w:r>
      <w:r w:rsidR="00416F9D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</w:t>
      </w:r>
      <w:r w:rsidR="00880E4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Please be aware that CRS’ </w:t>
      </w:r>
      <w:r w:rsidR="00416F9D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CISA and CISSP certified IT Auditors are required to attend ISACA and </w:t>
      </w:r>
      <w:r w:rsidR="00416F9D" w:rsidRPr="00EB65F4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ISC</w:t>
      </w:r>
      <w:r w:rsidR="00416F9D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training so they are up-to-date with evolving IT security industry </w:t>
      </w:r>
      <w:r w:rsidR="00D96740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trends.  </w:t>
      </w:r>
      <w:r w:rsidR="00880E4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We are </w:t>
      </w:r>
      <w:r w:rsidR="00D96740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thereby prepared to provide </w:t>
      </w:r>
      <w:r w:rsidR="00D96740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extraordinary</w:t>
      </w:r>
      <w:r w:rsidR="00D96740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, leading edge</w:t>
      </w:r>
      <w:r w:rsidR="00D96740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services at competitive prices</w:t>
      </w:r>
      <w:r w:rsidR="00880E4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.</w:t>
      </w:r>
      <w:r w:rsidR="00D96740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</w:t>
      </w:r>
      <w:r w:rsidR="00EB65F4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Please refer to </w:t>
      </w:r>
      <w:r w:rsidR="00EB65F4" w:rsidRPr="005277F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Exhibit B</w:t>
      </w:r>
      <w:r w:rsidR="00EB65F4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for a list of </w:t>
      </w:r>
      <w:r w:rsidR="00880E4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our </w:t>
      </w:r>
      <w:r w:rsidR="00EB65F4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proposed services and associated fees.</w:t>
      </w:r>
    </w:p>
    <w:p w:rsidR="00EB65F4" w:rsidRPr="00EB65F4" w:rsidRDefault="00EB65F4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</w:p>
    <w:p w:rsidR="004008C1" w:rsidRPr="00EB65F4" w:rsidRDefault="00EB65F4" w:rsidP="002D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Should you have any questions regarding our proposal, do not hesitate to contact me at (555) 123-4567.  In the meantime, </w:t>
      </w:r>
      <w:r w:rsidR="00CE7F66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thank you 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providing the </w:t>
      </w:r>
      <w:r w:rsidR="00CE7F66"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opportunity 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for CRS to submit this competitive bid</w:t>
      </w:r>
      <w:r w:rsidR="00880E4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.  We look 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forward to receiving an affirmative response.</w:t>
      </w:r>
    </w:p>
    <w:p w:rsidR="00964611" w:rsidRDefault="00964611" w:rsidP="0096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37F4" w:rsidRPr="00EB65F4" w:rsidRDefault="00EB65F4" w:rsidP="0096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Very Truly Yours,</w:t>
      </w:r>
    </w:p>
    <w:p w:rsidR="007937F4" w:rsidRPr="00964611" w:rsidRDefault="00964611" w:rsidP="00964611">
      <w:pPr>
        <w:shd w:val="clear" w:color="auto" w:fill="FFFFFF"/>
        <w:spacing w:before="100" w:beforeAutospacing="1" w:after="100" w:afterAutospacing="1" w:line="240" w:lineRule="auto"/>
        <w:rPr>
          <w:rFonts w:ascii="Freestyle Script" w:eastAsia="Times New Roman" w:hAnsi="Freestyle Script" w:cs="Times New Roman"/>
          <w:color w:val="0000FF"/>
          <w:sz w:val="44"/>
          <w:szCs w:val="44"/>
        </w:rPr>
      </w:pPr>
      <w:r w:rsidRPr="00964611">
        <w:rPr>
          <w:rFonts w:ascii="Freestyle Script" w:eastAsia="Times New Roman" w:hAnsi="Freestyle Script" w:cs="Times New Roman"/>
          <w:color w:val="0000FF"/>
          <w:sz w:val="44"/>
          <w:szCs w:val="44"/>
        </w:rPr>
        <w:t>Jason Wulf</w:t>
      </w:r>
    </w:p>
    <w:p w:rsidR="007937F4" w:rsidRPr="00964611" w:rsidRDefault="00236650" w:rsidP="0096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Jason Wulf</w:t>
      </w:r>
      <w:r w:rsidR="009646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4611" w:rsidRPr="00964611">
        <w:rPr>
          <w:rStyle w:val="full-name"/>
          <w:rFonts w:ascii="Times New Roman" w:hAnsi="Times New Roman" w:cs="Times New Roman"/>
          <w:sz w:val="24"/>
          <w:szCs w:val="24"/>
          <w:lang w:val="en"/>
        </w:rPr>
        <w:t>C|CISO, CISA/M, CIPT, CISSP</w:t>
      </w:r>
    </w:p>
    <w:p w:rsidR="00964611" w:rsidRDefault="00964611" w:rsidP="0096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11" w:rsidRDefault="007937F4" w:rsidP="0096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Executive Director, Business Development</w:t>
      </w:r>
    </w:p>
    <w:p w:rsidR="00087624" w:rsidRDefault="00964611" w:rsidP="00D50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CRS InfoSec Solutions</w:t>
      </w:r>
      <w:r w:rsidR="002D463C" w:rsidRPr="00EB65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31CBD" w:rsidRDefault="00031CB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031CBD" w:rsidRPr="00FA7B6F" w:rsidRDefault="00031CBD" w:rsidP="00031CBD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A7B6F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Exhibit A – Sample Certificate of Destruction</w:t>
      </w:r>
    </w:p>
    <w:p w:rsidR="00031CBD" w:rsidRPr="00FA7B6F" w:rsidRDefault="00031CBD" w:rsidP="00031CBD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A7B6F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031CBD" w:rsidRPr="00FA7B6F" w:rsidRDefault="00031CBD" w:rsidP="00031CBD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FA7B6F">
        <w:rPr>
          <w:rFonts w:ascii="Arial" w:eastAsia="Times New Roman" w:hAnsi="Arial" w:cs="Arial"/>
          <w:bCs/>
          <w:color w:val="000000"/>
          <w:sz w:val="28"/>
          <w:szCs w:val="28"/>
        </w:rPr>
        <w:t>The information described below was destroyed in the normal course of business pursuant to a proper retention schedule and destruction policies and procedures.</w:t>
      </w:r>
    </w:p>
    <w:p w:rsidR="00031CBD" w:rsidRDefault="00031CBD" w:rsidP="00031CBD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031CBD" w:rsidRPr="00AC5719" w:rsidRDefault="00031CBD" w:rsidP="00031CBD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FA7B6F">
        <w:rPr>
          <w:rFonts w:ascii="Arial" w:eastAsia="Times New Roman" w:hAnsi="Arial" w:cs="Arial"/>
          <w:bCs/>
          <w:color w:val="000000"/>
          <w:sz w:val="28"/>
          <w:szCs w:val="28"/>
        </w:rPr>
        <w:t>Date of Destruction: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C5719">
        <w:rPr>
          <w:rFonts w:ascii="Arial" w:eastAsia="Times New Roman" w:hAnsi="Arial" w:cs="Arial"/>
          <w:bCs/>
          <w:color w:val="000000"/>
          <w:sz w:val="28"/>
          <w:szCs w:val="28"/>
        </w:rPr>
        <w:t>__________________</w:t>
      </w:r>
    </w:p>
    <w:p w:rsidR="00031CBD" w:rsidRDefault="00031CBD" w:rsidP="00031CBD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031CBD" w:rsidRDefault="00031CBD" w:rsidP="00031CBD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FA7B6F">
        <w:rPr>
          <w:rFonts w:ascii="Arial" w:eastAsia="Times New Roman" w:hAnsi="Arial" w:cs="Arial"/>
          <w:bCs/>
          <w:color w:val="000000"/>
          <w:sz w:val="28"/>
          <w:szCs w:val="28"/>
        </w:rPr>
        <w:t>Description of hardware destroyed (e.g. serial #’s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</w:t>
      </w:r>
      <w:r w:rsidRPr="00FA7B6F">
        <w:rPr>
          <w:rFonts w:ascii="Arial" w:eastAsia="Times New Roman" w:hAnsi="Arial" w:cs="Arial"/>
          <w:bCs/>
          <w:color w:val="000000"/>
          <w:sz w:val="28"/>
          <w:szCs w:val="28"/>
        </w:rPr>
        <w:t>asset barcodes):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C5719">
        <w:rPr>
          <w:rFonts w:ascii="Arial" w:eastAsia="Times New Roman" w:hAnsi="Arial" w:cs="Arial"/>
          <w:bCs/>
          <w:color w:val="000000"/>
          <w:sz w:val="32"/>
          <w:szCs w:val="32"/>
        </w:rPr>
        <w:t>____________________________________________________</w:t>
      </w:r>
      <w:r w:rsidRPr="00AC5719">
        <w:rPr>
          <w:rFonts w:ascii="Arial" w:eastAsia="Times New Roman" w:hAnsi="Arial" w:cs="Arial"/>
          <w:bCs/>
          <w:color w:val="000000"/>
          <w:sz w:val="32"/>
          <w:szCs w:val="32"/>
        </w:rPr>
        <w:br/>
        <w:t>________________________________________________________________________________________________________</w:t>
      </w:r>
      <w:r w:rsidRPr="00AC5719">
        <w:rPr>
          <w:rFonts w:ascii="Arial" w:eastAsia="Times New Roman" w:hAnsi="Arial" w:cs="Arial"/>
          <w:bCs/>
          <w:color w:val="000000"/>
          <w:sz w:val="28"/>
          <w:szCs w:val="28"/>
        </w:rPr>
        <w:br/>
      </w:r>
      <w:r w:rsidRPr="00AC5719">
        <w:rPr>
          <w:rFonts w:ascii="Arial" w:eastAsia="Times New Roman" w:hAnsi="Arial" w:cs="Arial"/>
          <w:bCs/>
          <w:color w:val="000000"/>
          <w:sz w:val="28"/>
          <w:szCs w:val="28"/>
        </w:rPr>
        <w:br/>
      </w:r>
    </w:p>
    <w:p w:rsidR="00031CBD" w:rsidRPr="00FA7B6F" w:rsidRDefault="00031CBD" w:rsidP="00031CBD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AC5719">
        <w:rPr>
          <w:rFonts w:ascii="Arial" w:eastAsia="Times New Roman" w:hAnsi="Arial" w:cs="Arial"/>
          <w:bCs/>
          <w:color w:val="000000"/>
          <w:sz w:val="28"/>
          <w:szCs w:val="28"/>
        </w:rPr>
        <w:t>Method of destruction:</w:t>
      </w:r>
      <w:r w:rsidRPr="00FA7B6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C5719">
        <w:rPr>
          <w:rFonts w:ascii="Arial" w:eastAsia="Times New Roman" w:hAnsi="Arial" w:cs="Arial"/>
          <w:bCs/>
          <w:color w:val="000000"/>
          <w:sz w:val="32"/>
          <w:szCs w:val="32"/>
        </w:rPr>
        <w:t>____________________________________</w:t>
      </w:r>
      <w:r w:rsidRPr="00AC5719">
        <w:rPr>
          <w:rFonts w:ascii="Arial" w:eastAsia="Times New Roman" w:hAnsi="Arial" w:cs="Arial"/>
          <w:bCs/>
          <w:color w:val="000000"/>
          <w:sz w:val="32"/>
          <w:szCs w:val="32"/>
        </w:rPr>
        <w:br/>
        <w:t>____________________________________________________</w:t>
      </w:r>
    </w:p>
    <w:p w:rsidR="00031CBD" w:rsidRPr="00FA7B6F" w:rsidRDefault="00031CBD" w:rsidP="00031CBD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31CBD" w:rsidRPr="00AC5719" w:rsidRDefault="00031CBD" w:rsidP="00031CBD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AC571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Destroyed By: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_</w:t>
      </w:r>
      <w:r w:rsidRPr="00AC5719">
        <w:rPr>
          <w:rFonts w:ascii="Arial" w:eastAsia="Times New Roman" w:hAnsi="Arial" w:cs="Arial"/>
          <w:bCs/>
          <w:color w:val="000000"/>
          <w:sz w:val="28"/>
          <w:szCs w:val="28"/>
        </w:rPr>
        <w:t>_______________________________________________</w:t>
      </w:r>
      <w:r w:rsidRPr="00AC5719">
        <w:rPr>
          <w:rFonts w:ascii="Arial" w:eastAsia="Times New Roman" w:hAnsi="Arial" w:cs="Arial"/>
          <w:bCs/>
          <w:color w:val="000000"/>
          <w:sz w:val="28"/>
          <w:szCs w:val="28"/>
        </w:rPr>
        <w:br/>
      </w:r>
      <w:r w:rsidRPr="00AC5719">
        <w:rPr>
          <w:rFonts w:ascii="Arial" w:eastAsia="Times New Roman" w:hAnsi="Arial" w:cs="Arial"/>
          <w:bCs/>
          <w:color w:val="000000"/>
          <w:sz w:val="28"/>
          <w:szCs w:val="28"/>
        </w:rPr>
        <w:br/>
        <w:t xml:space="preserve">Witnessed By: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_</w:t>
      </w:r>
      <w:r w:rsidRPr="00AC5719">
        <w:rPr>
          <w:rFonts w:ascii="Arial" w:eastAsia="Times New Roman" w:hAnsi="Arial" w:cs="Arial"/>
          <w:bCs/>
          <w:color w:val="000000"/>
          <w:sz w:val="28"/>
          <w:szCs w:val="28"/>
        </w:rPr>
        <w:t>_______________________________________________</w:t>
      </w:r>
    </w:p>
    <w:p w:rsidR="00031CBD" w:rsidRDefault="00031CBD" w:rsidP="00031CBD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AC5719">
        <w:rPr>
          <w:rFonts w:ascii="Arial" w:eastAsia="Times New Roman" w:hAnsi="Arial" w:cs="Arial"/>
          <w:bCs/>
          <w:color w:val="000000"/>
          <w:sz w:val="28"/>
          <w:szCs w:val="28"/>
        </w:rPr>
        <w:br/>
        <w:t>Department Head:</w:t>
      </w:r>
      <w:r w:rsidRPr="00FA7B6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C5719">
        <w:rPr>
          <w:rFonts w:ascii="Arial" w:eastAsia="Times New Roman" w:hAnsi="Arial" w:cs="Arial"/>
          <w:bCs/>
          <w:color w:val="000000"/>
          <w:sz w:val="28"/>
          <w:szCs w:val="28"/>
        </w:rPr>
        <w:t>____________________________________________</w:t>
      </w:r>
    </w:p>
    <w:p w:rsidR="00031CBD" w:rsidRDefault="00031CBD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br w:type="page"/>
      </w:r>
    </w:p>
    <w:p w:rsidR="00031CBD" w:rsidRPr="00031CBD" w:rsidRDefault="00031CBD" w:rsidP="00031CBD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A7B6F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Exhibit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B</w:t>
      </w:r>
      <w:r w:rsidRPr="00FA7B6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– </w:t>
      </w:r>
      <w:r w:rsidRPr="00031CB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CRS’ </w:t>
      </w:r>
      <w:r w:rsidRPr="00031CBD">
        <w:rPr>
          <w:rFonts w:ascii="Arial" w:eastAsia="Times New Roman" w:hAnsi="Arial" w:cs="Arial"/>
          <w:b/>
          <w:bCs/>
          <w:color w:val="000000" w:themeColor="text1"/>
          <w:spacing w:val="-2"/>
          <w:sz w:val="28"/>
          <w:szCs w:val="28"/>
        </w:rPr>
        <w:t>Proposed Services and Related Fees</w:t>
      </w:r>
    </w:p>
    <w:p w:rsidR="00031CBD" w:rsidRPr="00FA7B6F" w:rsidRDefault="00031CBD" w:rsidP="00031CBD"/>
    <w:p w:rsidR="00974F7B" w:rsidRDefault="00974F7B" w:rsidP="006A5BD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CRS InfoSec Solutions will provide the following 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assurance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s to A+ Corporation regarding the Company’s newly implemented 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IT Data Destruction Policy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:</w:t>
      </w:r>
    </w:p>
    <w:p w:rsidR="00974F7B" w:rsidRPr="00974F7B" w:rsidRDefault="00974F7B" w:rsidP="00974F7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974F7B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The Policy is sufficiently robust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, is 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align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ed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with Information Security objectives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, and </w:t>
      </w: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supports compliance with relevant laws and regulations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;</w:t>
      </w:r>
    </w:p>
    <w:p w:rsidR="00974F7B" w:rsidRPr="006A5BD7" w:rsidRDefault="00974F7B" w:rsidP="006A5BD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6A5BD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Appropriate </w:t>
      </w:r>
      <w:r w:rsidR="006A5BD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compliance enforcement and monitoring mechanisms exist;</w:t>
      </w:r>
    </w:p>
    <w:p w:rsidR="006A5BD7" w:rsidRDefault="00974F7B" w:rsidP="006A5BD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EB65F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Existing policies, procedures and controls adequately support Policy enactment</w:t>
      </w:r>
      <w:r w:rsidR="006A5BD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; and</w:t>
      </w:r>
    </w:p>
    <w:p w:rsidR="00031CBD" w:rsidRPr="006A5BD7" w:rsidRDefault="006A5BD7" w:rsidP="00A264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5BD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Employees/contractors/third parties are complying with the Policy</w:t>
      </w: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(</w:t>
      </w:r>
      <w:r w:rsidR="00974F7B" w:rsidRPr="006A5BD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.</w:t>
      </w:r>
    </w:p>
    <w:p w:rsidR="006A5BD7" w:rsidRDefault="006A5BD7" w:rsidP="006A5B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BD7" w:rsidRDefault="006A5BD7" w:rsidP="006A5B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BD7" w:rsidRDefault="006A5BD7" w:rsidP="006A5B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hours to complete: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60</w:t>
      </w:r>
    </w:p>
    <w:p w:rsidR="006A5BD7" w:rsidRDefault="006A5BD7" w:rsidP="006A5B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BD7" w:rsidRDefault="006A5BD7" w:rsidP="006A5B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Blended Rate: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$225</w:t>
      </w:r>
    </w:p>
    <w:p w:rsidR="006A5BD7" w:rsidRDefault="006A5BD7" w:rsidP="006A5B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BD7" w:rsidRDefault="006A5BD7" w:rsidP="006A5B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$13,500</w:t>
      </w:r>
    </w:p>
    <w:p w:rsidR="006A5BD7" w:rsidRDefault="006A5BD7" w:rsidP="006A5B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A5BD7" w:rsidRDefault="005277F7" w:rsidP="006A5B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Less:  10% New Customer Discount </w:t>
      </w:r>
      <w:r w:rsidRPr="005277F7">
        <w:rPr>
          <w:rFonts w:ascii="Times New Roman" w:hAnsi="Times New Roman" w:cs="Times New Roman"/>
          <w:b/>
          <w:color w:val="0000FF"/>
          <w:sz w:val="20"/>
          <w:szCs w:val="20"/>
        </w:rPr>
        <w:t>[2]</w:t>
      </w:r>
      <w:r w:rsidRPr="005277F7">
        <w:rPr>
          <w:rFonts w:ascii="Times New Roman" w:hAnsi="Times New Roman" w:cs="Times New Roman"/>
          <w:b/>
          <w:color w:val="0000FF"/>
        </w:rPr>
        <w:t xml:space="preserve"> </w:t>
      </w:r>
      <w:r w:rsidRPr="005277F7">
        <w:rPr>
          <w:rFonts w:ascii="Times New Roman" w:hAnsi="Times New Roman" w:cs="Times New Roman"/>
          <w:b/>
          <w:color w:val="0000FF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($1,350)</w:t>
      </w:r>
    </w:p>
    <w:p w:rsidR="005277F7" w:rsidRDefault="005277F7" w:rsidP="006A5B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77F7" w:rsidRDefault="005277F7" w:rsidP="006A5B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Estimated 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77F7">
        <w:rPr>
          <w:rFonts w:ascii="Times New Roman" w:hAnsi="Times New Roman" w:cs="Times New Roman"/>
          <w:b/>
          <w:sz w:val="24"/>
          <w:szCs w:val="24"/>
        </w:rPr>
        <w:t>$12,150</w:t>
      </w:r>
    </w:p>
    <w:p w:rsidR="005277F7" w:rsidRDefault="005277F7" w:rsidP="006A5B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7F7" w:rsidRDefault="005277F7" w:rsidP="006A5B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7F7" w:rsidRPr="005277F7" w:rsidRDefault="005277F7" w:rsidP="005277F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77F7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[2] </w:t>
      </w:r>
      <w:r w:rsidRPr="005277F7">
        <w:rPr>
          <w:rFonts w:ascii="Times New Roman" w:hAnsi="Times New Roman" w:cs="Times New Roman"/>
          <w:b/>
          <w:color w:val="0000FF"/>
          <w:sz w:val="20"/>
          <w:szCs w:val="20"/>
        </w:rPr>
        <w:tab/>
      </w:r>
      <w:r w:rsidRPr="005277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This discount is non-transferable and only applies to the first Statement of Work executed by and between A+ Corporation and CRS InfoSec Solutions.  Offer expires December 31, 2016.  </w:t>
      </w:r>
    </w:p>
    <w:p w:rsidR="006A5BD7" w:rsidRPr="006A5BD7" w:rsidRDefault="006A5BD7" w:rsidP="006A5BD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A5BD7" w:rsidRPr="006A5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4D6"/>
    <w:multiLevelType w:val="hybridMultilevel"/>
    <w:tmpl w:val="8048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71BC"/>
    <w:multiLevelType w:val="hybridMultilevel"/>
    <w:tmpl w:val="1346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63947"/>
    <w:multiLevelType w:val="hybridMultilevel"/>
    <w:tmpl w:val="F0B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06C4"/>
    <w:multiLevelType w:val="hybridMultilevel"/>
    <w:tmpl w:val="62E2F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B7DFC"/>
    <w:multiLevelType w:val="hybridMultilevel"/>
    <w:tmpl w:val="1BF27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6160BC"/>
    <w:multiLevelType w:val="hybridMultilevel"/>
    <w:tmpl w:val="BEDA253A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 w15:restartNumberingAfterBreak="0">
    <w:nsid w:val="3DD4302B"/>
    <w:multiLevelType w:val="hybridMultilevel"/>
    <w:tmpl w:val="5D7A8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0801B1"/>
    <w:multiLevelType w:val="hybridMultilevel"/>
    <w:tmpl w:val="4134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A332D"/>
    <w:multiLevelType w:val="hybridMultilevel"/>
    <w:tmpl w:val="F5F08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1552F7"/>
    <w:multiLevelType w:val="hybridMultilevel"/>
    <w:tmpl w:val="444A3676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0" w15:restartNumberingAfterBreak="0">
    <w:nsid w:val="683213CF"/>
    <w:multiLevelType w:val="hybridMultilevel"/>
    <w:tmpl w:val="37308774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1" w15:restartNumberingAfterBreak="0">
    <w:nsid w:val="6AAF7B5D"/>
    <w:multiLevelType w:val="hybridMultilevel"/>
    <w:tmpl w:val="D346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05567"/>
    <w:multiLevelType w:val="hybridMultilevel"/>
    <w:tmpl w:val="2976F63A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3" w15:restartNumberingAfterBreak="0">
    <w:nsid w:val="6BF72DDC"/>
    <w:multiLevelType w:val="hybridMultilevel"/>
    <w:tmpl w:val="2962F926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4" w15:restartNumberingAfterBreak="0">
    <w:nsid w:val="6DC61790"/>
    <w:multiLevelType w:val="hybridMultilevel"/>
    <w:tmpl w:val="26C8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3C"/>
    <w:rsid w:val="00031CBD"/>
    <w:rsid w:val="00055C6B"/>
    <w:rsid w:val="00087624"/>
    <w:rsid w:val="000F762D"/>
    <w:rsid w:val="00135CA1"/>
    <w:rsid w:val="001808DA"/>
    <w:rsid w:val="00236650"/>
    <w:rsid w:val="00266C83"/>
    <w:rsid w:val="00296C9E"/>
    <w:rsid w:val="002A6CAF"/>
    <w:rsid w:val="002D463C"/>
    <w:rsid w:val="00300887"/>
    <w:rsid w:val="00340B9A"/>
    <w:rsid w:val="0035559E"/>
    <w:rsid w:val="004008C1"/>
    <w:rsid w:val="00416F9D"/>
    <w:rsid w:val="0045448F"/>
    <w:rsid w:val="005119EF"/>
    <w:rsid w:val="005277F7"/>
    <w:rsid w:val="00553A45"/>
    <w:rsid w:val="005661C0"/>
    <w:rsid w:val="005672DE"/>
    <w:rsid w:val="005B7E85"/>
    <w:rsid w:val="005C5255"/>
    <w:rsid w:val="0061095E"/>
    <w:rsid w:val="00641DEE"/>
    <w:rsid w:val="00642E21"/>
    <w:rsid w:val="006A5BD7"/>
    <w:rsid w:val="006C109E"/>
    <w:rsid w:val="006D1B5F"/>
    <w:rsid w:val="00750157"/>
    <w:rsid w:val="00750719"/>
    <w:rsid w:val="007677C3"/>
    <w:rsid w:val="007916B8"/>
    <w:rsid w:val="007937F4"/>
    <w:rsid w:val="00844920"/>
    <w:rsid w:val="00852BAC"/>
    <w:rsid w:val="00880E4E"/>
    <w:rsid w:val="008C1C8E"/>
    <w:rsid w:val="009275A4"/>
    <w:rsid w:val="00946A40"/>
    <w:rsid w:val="00964611"/>
    <w:rsid w:val="00974F7B"/>
    <w:rsid w:val="009A0C68"/>
    <w:rsid w:val="009F2947"/>
    <w:rsid w:val="00AE5673"/>
    <w:rsid w:val="00B01ECB"/>
    <w:rsid w:val="00B022B1"/>
    <w:rsid w:val="00B74301"/>
    <w:rsid w:val="00BE0DEF"/>
    <w:rsid w:val="00BF5F47"/>
    <w:rsid w:val="00C33A55"/>
    <w:rsid w:val="00CA4977"/>
    <w:rsid w:val="00CE7F66"/>
    <w:rsid w:val="00CF2314"/>
    <w:rsid w:val="00D50318"/>
    <w:rsid w:val="00D83729"/>
    <w:rsid w:val="00D96740"/>
    <w:rsid w:val="00DC2E4B"/>
    <w:rsid w:val="00DF73AB"/>
    <w:rsid w:val="00E50433"/>
    <w:rsid w:val="00EB65F4"/>
    <w:rsid w:val="00EC39A8"/>
    <w:rsid w:val="00F02F29"/>
    <w:rsid w:val="00F4063D"/>
    <w:rsid w:val="00FB4D27"/>
    <w:rsid w:val="00FE5B3A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7028"/>
  <w15:chartTrackingRefBased/>
  <w15:docId w15:val="{EDB0C2E4-F2FC-4E80-99B4-151255B4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826964072559169919gmail-msobodytext">
    <w:name w:val="m_-8826964072559169919gmail-msobodytext"/>
    <w:basedOn w:val="Normal"/>
    <w:rsid w:val="002D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463C"/>
  </w:style>
  <w:style w:type="paragraph" w:customStyle="1" w:styleId="m-8826964072559169919gmail-msolistparagraph">
    <w:name w:val="m_-8826964072559169919gmail-msolistparagraph"/>
    <w:basedOn w:val="Normal"/>
    <w:rsid w:val="002D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826964072559169919gmail-default">
    <w:name w:val="m_-8826964072559169919gmail-default"/>
    <w:basedOn w:val="Normal"/>
    <w:rsid w:val="002D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E4B"/>
    <w:pPr>
      <w:ind w:left="720"/>
      <w:contextualSpacing/>
    </w:pPr>
  </w:style>
  <w:style w:type="character" w:customStyle="1" w:styleId="full-name">
    <w:name w:val="full-name"/>
    <w:basedOn w:val="DefaultParagraphFont"/>
    <w:rsid w:val="00964611"/>
  </w:style>
  <w:style w:type="paragraph" w:styleId="BalloonText">
    <w:name w:val="Balloon Text"/>
    <w:basedOn w:val="Normal"/>
    <w:link w:val="BalloonTextChar"/>
    <w:uiPriority w:val="99"/>
    <w:semiHidden/>
    <w:unhideWhenUsed/>
    <w:rsid w:val="00D5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Nelson</dc:creator>
  <cp:keywords/>
  <dc:description/>
  <cp:lastModifiedBy>Candace Nelson</cp:lastModifiedBy>
  <cp:revision>2</cp:revision>
  <dcterms:created xsi:type="dcterms:W3CDTF">2016-12-12T19:51:00Z</dcterms:created>
  <dcterms:modified xsi:type="dcterms:W3CDTF">2016-12-12T19:51:00Z</dcterms:modified>
</cp:coreProperties>
</file>