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16" w:type="dxa"/>
        <w:tblLayout w:type="fixed"/>
        <w:tblLook w:val="04A0" w:firstRow="1" w:lastRow="0" w:firstColumn="1" w:lastColumn="0" w:noHBand="0" w:noVBand="1"/>
      </w:tblPr>
      <w:tblGrid>
        <w:gridCol w:w="761"/>
        <w:gridCol w:w="1258"/>
        <w:gridCol w:w="1217"/>
        <w:gridCol w:w="439"/>
        <w:gridCol w:w="1350"/>
        <w:gridCol w:w="910"/>
        <w:gridCol w:w="401"/>
        <w:gridCol w:w="795"/>
        <w:gridCol w:w="2885"/>
      </w:tblGrid>
      <w:tr w:rsidR="00EF1E37" w:rsidRPr="00EF1E37" w:rsidTr="00DE326C">
        <w:trPr>
          <w:trHeight w:val="432"/>
        </w:trPr>
        <w:tc>
          <w:tcPr>
            <w:tcW w:w="2019" w:type="dxa"/>
            <w:gridSpan w:val="2"/>
            <w:shd w:val="clear" w:color="auto" w:fill="D9D9D9" w:themeFill="background1" w:themeFillShade="D9"/>
            <w:vAlign w:val="center"/>
          </w:tcPr>
          <w:p w:rsidR="00EF1E37" w:rsidRPr="00725DE9" w:rsidRDefault="00EF1E37" w:rsidP="00DE326C">
            <w:pPr>
              <w:pStyle w:val="Heading1"/>
              <w:outlineLvl w:val="0"/>
              <w:rPr>
                <w:rFonts w:ascii="Arial" w:hAnsi="Arial" w:cs="Arial"/>
                <w:color w:val="auto"/>
                <w:sz w:val="24"/>
                <w:szCs w:val="24"/>
              </w:rPr>
            </w:pPr>
            <w:r w:rsidRPr="00725DE9">
              <w:rPr>
                <w:rFonts w:ascii="Arial" w:hAnsi="Arial" w:cs="Arial"/>
                <w:color w:val="auto"/>
                <w:sz w:val="24"/>
                <w:szCs w:val="24"/>
              </w:rPr>
              <w:t>Instructor Information</w:t>
            </w:r>
          </w:p>
        </w:tc>
        <w:tc>
          <w:tcPr>
            <w:tcW w:w="7997" w:type="dxa"/>
            <w:gridSpan w:val="7"/>
            <w:vAlign w:val="center"/>
          </w:tcPr>
          <w:p w:rsidR="00EF1E37" w:rsidRPr="00725DE9" w:rsidRDefault="00EF1E37" w:rsidP="00DE326C">
            <w:pPr>
              <w:rPr>
                <w:rFonts w:ascii="Arial" w:hAnsi="Arial" w:cs="Arial"/>
                <w:sz w:val="24"/>
                <w:szCs w:val="24"/>
              </w:rPr>
            </w:pPr>
            <w:r w:rsidRPr="00725DE9">
              <w:rPr>
                <w:rFonts w:ascii="Arial" w:hAnsi="Arial" w:cs="Arial"/>
                <w:sz w:val="24"/>
                <w:szCs w:val="24"/>
              </w:rPr>
              <w:t>Wade Mackey</w:t>
            </w:r>
          </w:p>
          <w:p w:rsidR="00EF1E37" w:rsidRPr="00725DE9" w:rsidRDefault="00EF1E37" w:rsidP="00DE326C">
            <w:pPr>
              <w:rPr>
                <w:sz w:val="24"/>
                <w:szCs w:val="24"/>
              </w:rPr>
            </w:pPr>
            <w:r w:rsidRPr="00725DE9">
              <w:rPr>
                <w:rFonts w:ascii="Arial" w:hAnsi="Arial" w:cs="Arial"/>
                <w:sz w:val="24"/>
                <w:szCs w:val="24"/>
              </w:rPr>
              <w:t>Wade.mackey@temple.edu</w:t>
            </w:r>
          </w:p>
        </w:tc>
      </w:tr>
      <w:tr w:rsidR="00EF1E37" w:rsidRPr="00EF1E37" w:rsidTr="00DE326C">
        <w:trPr>
          <w:trHeight w:val="720"/>
        </w:trPr>
        <w:tc>
          <w:tcPr>
            <w:tcW w:w="2019" w:type="dxa"/>
            <w:gridSpan w:val="2"/>
            <w:shd w:val="clear" w:color="auto" w:fill="D9D9D9" w:themeFill="background1" w:themeFillShade="D9"/>
            <w:vAlign w:val="center"/>
          </w:tcPr>
          <w:p w:rsidR="00235B8E" w:rsidRPr="00725DE9" w:rsidRDefault="00725DE9" w:rsidP="00725DE9">
            <w:pPr>
              <w:pStyle w:val="Heading1"/>
              <w:outlineLvl w:val="0"/>
              <w:rPr>
                <w:rFonts w:ascii="Arial" w:hAnsi="Arial" w:cs="Arial"/>
                <w:color w:val="auto"/>
                <w:sz w:val="24"/>
                <w:szCs w:val="24"/>
              </w:rPr>
            </w:pPr>
            <w:r w:rsidRPr="00725DE9">
              <w:rPr>
                <w:rFonts w:ascii="Arial" w:hAnsi="Arial" w:cs="Arial"/>
                <w:color w:val="auto"/>
                <w:sz w:val="24"/>
                <w:szCs w:val="24"/>
              </w:rPr>
              <w:t>Office Information</w:t>
            </w:r>
          </w:p>
        </w:tc>
        <w:tc>
          <w:tcPr>
            <w:tcW w:w="3916" w:type="dxa"/>
            <w:gridSpan w:val="4"/>
            <w:vAlign w:val="center"/>
          </w:tcPr>
          <w:p w:rsidR="00235B8E" w:rsidRPr="00725DE9" w:rsidRDefault="00725DE9" w:rsidP="00235B8E">
            <w:pPr>
              <w:pStyle w:val="Heading1"/>
              <w:jc w:val="center"/>
              <w:outlineLvl w:val="0"/>
              <w:rPr>
                <w:rFonts w:ascii="Arial" w:hAnsi="Arial" w:cs="Arial"/>
                <w:b w:val="0"/>
                <w:color w:val="auto"/>
                <w:sz w:val="24"/>
                <w:szCs w:val="24"/>
              </w:rPr>
            </w:pPr>
            <w:r w:rsidRPr="00725DE9">
              <w:rPr>
                <w:rFonts w:ascii="Arial" w:hAnsi="Arial" w:cs="Arial"/>
                <w:b w:val="0"/>
                <w:color w:val="auto"/>
                <w:sz w:val="24"/>
                <w:szCs w:val="24"/>
              </w:rPr>
              <w:t>Alter Hall 602</w:t>
            </w:r>
          </w:p>
        </w:tc>
        <w:tc>
          <w:tcPr>
            <w:tcW w:w="4081" w:type="dxa"/>
            <w:gridSpan w:val="3"/>
            <w:vAlign w:val="center"/>
          </w:tcPr>
          <w:p w:rsidR="00235B8E" w:rsidRPr="00725DE9" w:rsidRDefault="00235B8E" w:rsidP="00235B8E">
            <w:pPr>
              <w:pStyle w:val="Heading1"/>
              <w:jc w:val="center"/>
              <w:outlineLvl w:val="0"/>
              <w:rPr>
                <w:rFonts w:ascii="Arial" w:hAnsi="Arial" w:cs="Arial"/>
                <w:color w:val="auto"/>
                <w:sz w:val="24"/>
                <w:szCs w:val="24"/>
              </w:rPr>
            </w:pPr>
          </w:p>
        </w:tc>
      </w:tr>
      <w:tr w:rsidR="00EF1E37" w:rsidRPr="00EF1E37" w:rsidTr="00DE326C">
        <w:trPr>
          <w:trHeight w:val="467"/>
        </w:trPr>
        <w:tc>
          <w:tcPr>
            <w:tcW w:w="2019" w:type="dxa"/>
            <w:gridSpan w:val="2"/>
            <w:shd w:val="clear" w:color="auto" w:fill="D9D9D9" w:themeFill="background1" w:themeFillShade="D9"/>
            <w:vAlign w:val="center"/>
          </w:tcPr>
          <w:p w:rsidR="00EF1E37" w:rsidRPr="00725DE9" w:rsidRDefault="00725DE9" w:rsidP="00DE326C">
            <w:pPr>
              <w:pStyle w:val="Heading1"/>
              <w:outlineLvl w:val="0"/>
              <w:rPr>
                <w:rFonts w:ascii="Arial" w:hAnsi="Arial" w:cs="Arial"/>
                <w:color w:val="auto"/>
                <w:sz w:val="24"/>
                <w:szCs w:val="24"/>
              </w:rPr>
            </w:pPr>
            <w:r w:rsidRPr="00725DE9">
              <w:rPr>
                <w:rFonts w:ascii="Arial" w:hAnsi="Arial" w:cs="Arial"/>
                <w:color w:val="auto"/>
                <w:sz w:val="24"/>
                <w:szCs w:val="24"/>
              </w:rPr>
              <w:t>Office Hours</w:t>
            </w:r>
          </w:p>
        </w:tc>
        <w:tc>
          <w:tcPr>
            <w:tcW w:w="7997" w:type="dxa"/>
            <w:gridSpan w:val="7"/>
            <w:vAlign w:val="center"/>
          </w:tcPr>
          <w:p w:rsidR="00EF1E37" w:rsidRPr="00725DE9" w:rsidRDefault="00725DE9" w:rsidP="00DE326C">
            <w:pPr>
              <w:pStyle w:val="Heading1"/>
              <w:outlineLvl w:val="0"/>
              <w:rPr>
                <w:rFonts w:ascii="Arial" w:hAnsi="Arial" w:cs="Arial"/>
                <w:b w:val="0"/>
                <w:color w:val="auto"/>
                <w:sz w:val="24"/>
                <w:szCs w:val="24"/>
              </w:rPr>
            </w:pPr>
            <w:r w:rsidRPr="00725DE9">
              <w:rPr>
                <w:rFonts w:ascii="Arial" w:hAnsi="Arial" w:cs="Arial"/>
                <w:b w:val="0"/>
                <w:color w:val="auto"/>
                <w:sz w:val="24"/>
                <w:szCs w:val="24"/>
              </w:rPr>
              <w:t>By Appointment</w:t>
            </w:r>
          </w:p>
        </w:tc>
      </w:tr>
      <w:tr w:rsidR="00EF1E37" w:rsidRPr="00EF1E37" w:rsidTr="00DE326C">
        <w:trPr>
          <w:trHeight w:val="720"/>
        </w:trPr>
        <w:tc>
          <w:tcPr>
            <w:tcW w:w="761" w:type="dxa"/>
            <w:shd w:val="clear" w:color="auto" w:fill="D9D9D9" w:themeFill="background1" w:themeFillShade="D9"/>
            <w:vAlign w:val="center"/>
          </w:tcPr>
          <w:p w:rsidR="00EF1E37" w:rsidRPr="00725DE9" w:rsidRDefault="00EF1E37" w:rsidP="00DE326C">
            <w:pPr>
              <w:pStyle w:val="Heading1"/>
              <w:outlineLvl w:val="0"/>
              <w:rPr>
                <w:rFonts w:ascii="Arial" w:hAnsi="Arial" w:cs="Arial"/>
                <w:color w:val="auto"/>
                <w:sz w:val="24"/>
                <w:szCs w:val="24"/>
              </w:rPr>
            </w:pPr>
            <w:r w:rsidRPr="00725DE9">
              <w:rPr>
                <w:rFonts w:ascii="Arial" w:hAnsi="Arial" w:cs="Arial"/>
                <w:color w:val="auto"/>
                <w:sz w:val="24"/>
                <w:szCs w:val="24"/>
              </w:rPr>
              <w:t>CRN</w:t>
            </w:r>
          </w:p>
        </w:tc>
        <w:tc>
          <w:tcPr>
            <w:tcW w:w="1258" w:type="dxa"/>
            <w:vAlign w:val="center"/>
          </w:tcPr>
          <w:p w:rsidR="00EF1E37" w:rsidRPr="00725DE9" w:rsidRDefault="00EF1E37" w:rsidP="00295EEB">
            <w:pPr>
              <w:pStyle w:val="Heading1"/>
              <w:outlineLvl w:val="0"/>
              <w:rPr>
                <w:rFonts w:ascii="Arial" w:hAnsi="Arial" w:cs="Arial"/>
                <w:b w:val="0"/>
                <w:color w:val="auto"/>
                <w:sz w:val="24"/>
                <w:szCs w:val="24"/>
              </w:rPr>
            </w:pPr>
            <w:r w:rsidRPr="00725DE9">
              <w:rPr>
                <w:rFonts w:ascii="Arial" w:hAnsi="Arial" w:cs="Arial"/>
                <w:b w:val="0"/>
                <w:color w:val="auto"/>
                <w:sz w:val="24"/>
                <w:szCs w:val="24"/>
              </w:rPr>
              <w:t>25</w:t>
            </w:r>
            <w:r w:rsidR="00295EEB">
              <w:rPr>
                <w:rFonts w:ascii="Arial" w:hAnsi="Arial" w:cs="Arial"/>
                <w:b w:val="0"/>
                <w:color w:val="auto"/>
                <w:sz w:val="24"/>
                <w:szCs w:val="24"/>
              </w:rPr>
              <w:t>374</w:t>
            </w:r>
          </w:p>
        </w:tc>
        <w:tc>
          <w:tcPr>
            <w:tcW w:w="1217" w:type="dxa"/>
            <w:shd w:val="clear" w:color="auto" w:fill="BFBFBF" w:themeFill="background1" w:themeFillShade="BF"/>
            <w:vAlign w:val="center"/>
          </w:tcPr>
          <w:p w:rsidR="00EF1E37" w:rsidRPr="00725DE9" w:rsidRDefault="00EF1E37" w:rsidP="00DE326C">
            <w:pPr>
              <w:pStyle w:val="Heading1"/>
              <w:outlineLvl w:val="0"/>
              <w:rPr>
                <w:rFonts w:ascii="Arial" w:hAnsi="Arial" w:cs="Arial"/>
                <w:color w:val="auto"/>
                <w:sz w:val="24"/>
                <w:szCs w:val="24"/>
              </w:rPr>
            </w:pPr>
            <w:r w:rsidRPr="00725DE9">
              <w:rPr>
                <w:rFonts w:ascii="Arial" w:hAnsi="Arial" w:cs="Arial"/>
                <w:color w:val="auto"/>
                <w:sz w:val="24"/>
                <w:szCs w:val="24"/>
              </w:rPr>
              <w:t>Section</w:t>
            </w:r>
          </w:p>
        </w:tc>
        <w:tc>
          <w:tcPr>
            <w:tcW w:w="439" w:type="dxa"/>
            <w:vAlign w:val="center"/>
          </w:tcPr>
          <w:p w:rsidR="00EF1E37" w:rsidRPr="00725DE9" w:rsidRDefault="00EF1E37" w:rsidP="00DE326C">
            <w:pPr>
              <w:pStyle w:val="Heading1"/>
              <w:outlineLvl w:val="0"/>
              <w:rPr>
                <w:rFonts w:ascii="Arial" w:hAnsi="Arial" w:cs="Arial"/>
                <w:b w:val="0"/>
                <w:color w:val="auto"/>
                <w:sz w:val="24"/>
                <w:szCs w:val="24"/>
              </w:rPr>
            </w:pPr>
            <w:r w:rsidRPr="00725DE9">
              <w:rPr>
                <w:rFonts w:ascii="Arial" w:hAnsi="Arial" w:cs="Arial"/>
                <w:b w:val="0"/>
                <w:color w:val="auto"/>
                <w:sz w:val="24"/>
                <w:szCs w:val="24"/>
              </w:rPr>
              <w:t>1</w:t>
            </w:r>
          </w:p>
        </w:tc>
        <w:tc>
          <w:tcPr>
            <w:tcW w:w="1350" w:type="dxa"/>
            <w:shd w:val="clear" w:color="auto" w:fill="BFBFBF" w:themeFill="background1" w:themeFillShade="BF"/>
            <w:vAlign w:val="center"/>
          </w:tcPr>
          <w:p w:rsidR="00EF1E37" w:rsidRPr="00725DE9" w:rsidRDefault="00EF1E37" w:rsidP="00DE326C">
            <w:pPr>
              <w:pStyle w:val="Heading1"/>
              <w:outlineLvl w:val="0"/>
              <w:rPr>
                <w:rFonts w:ascii="Arial" w:hAnsi="Arial" w:cs="Arial"/>
                <w:color w:val="auto"/>
                <w:sz w:val="24"/>
                <w:szCs w:val="24"/>
              </w:rPr>
            </w:pPr>
            <w:r w:rsidRPr="00725DE9">
              <w:rPr>
                <w:rFonts w:ascii="Arial" w:hAnsi="Arial" w:cs="Arial"/>
                <w:color w:val="auto"/>
                <w:sz w:val="24"/>
                <w:szCs w:val="24"/>
              </w:rPr>
              <w:t>Location</w:t>
            </w:r>
          </w:p>
        </w:tc>
        <w:tc>
          <w:tcPr>
            <w:tcW w:w="1311" w:type="dxa"/>
            <w:gridSpan w:val="2"/>
            <w:vAlign w:val="center"/>
          </w:tcPr>
          <w:p w:rsidR="00EF1E37" w:rsidRPr="00725DE9" w:rsidRDefault="00EF1E37" w:rsidP="00DE326C">
            <w:pPr>
              <w:pStyle w:val="Heading1"/>
              <w:outlineLvl w:val="0"/>
              <w:rPr>
                <w:rFonts w:ascii="Arial" w:hAnsi="Arial" w:cs="Arial"/>
                <w:b w:val="0"/>
                <w:color w:val="auto"/>
                <w:sz w:val="24"/>
                <w:szCs w:val="24"/>
              </w:rPr>
            </w:pPr>
            <w:r w:rsidRPr="00725DE9">
              <w:rPr>
                <w:rFonts w:ascii="Arial" w:hAnsi="Arial" w:cs="Arial"/>
                <w:b w:val="0"/>
                <w:color w:val="auto"/>
                <w:sz w:val="24"/>
                <w:szCs w:val="24"/>
              </w:rPr>
              <w:t>Alter 602</w:t>
            </w:r>
          </w:p>
        </w:tc>
        <w:tc>
          <w:tcPr>
            <w:tcW w:w="795" w:type="dxa"/>
            <w:shd w:val="clear" w:color="auto" w:fill="BFBFBF" w:themeFill="background1" w:themeFillShade="BF"/>
            <w:vAlign w:val="center"/>
          </w:tcPr>
          <w:p w:rsidR="00EF1E37" w:rsidRPr="00725DE9" w:rsidRDefault="00EF1E37" w:rsidP="00DE326C">
            <w:pPr>
              <w:pStyle w:val="Heading1"/>
              <w:outlineLvl w:val="0"/>
              <w:rPr>
                <w:rFonts w:ascii="Arial" w:hAnsi="Arial" w:cs="Arial"/>
                <w:color w:val="auto"/>
                <w:sz w:val="24"/>
                <w:szCs w:val="24"/>
              </w:rPr>
            </w:pPr>
            <w:r w:rsidRPr="00725DE9">
              <w:rPr>
                <w:rFonts w:ascii="Arial" w:hAnsi="Arial" w:cs="Arial"/>
                <w:color w:val="auto"/>
                <w:sz w:val="24"/>
                <w:szCs w:val="24"/>
              </w:rPr>
              <w:t>Time</w:t>
            </w:r>
          </w:p>
        </w:tc>
        <w:tc>
          <w:tcPr>
            <w:tcW w:w="2885" w:type="dxa"/>
            <w:vAlign w:val="center"/>
          </w:tcPr>
          <w:p w:rsidR="00EF1E37" w:rsidRPr="00725DE9" w:rsidRDefault="00725DE9" w:rsidP="00DE326C">
            <w:pPr>
              <w:pStyle w:val="Heading1"/>
              <w:outlineLvl w:val="0"/>
              <w:rPr>
                <w:rFonts w:ascii="Arial" w:hAnsi="Arial" w:cs="Arial"/>
                <w:b w:val="0"/>
                <w:color w:val="auto"/>
                <w:sz w:val="24"/>
                <w:szCs w:val="24"/>
              </w:rPr>
            </w:pPr>
            <w:r w:rsidRPr="00725DE9">
              <w:rPr>
                <w:rFonts w:ascii="Arial" w:hAnsi="Arial" w:cs="Arial"/>
                <w:b w:val="0"/>
                <w:color w:val="auto"/>
                <w:sz w:val="24"/>
                <w:szCs w:val="24"/>
              </w:rPr>
              <w:t>Wednesday</w:t>
            </w:r>
            <w:r w:rsidR="00EF1E37" w:rsidRPr="00725DE9">
              <w:rPr>
                <w:rFonts w:ascii="Arial" w:hAnsi="Arial" w:cs="Arial"/>
                <w:b w:val="0"/>
                <w:color w:val="auto"/>
                <w:sz w:val="24"/>
                <w:szCs w:val="24"/>
              </w:rPr>
              <w:t xml:space="preserve"> 5:30 – 8:00</w:t>
            </w:r>
          </w:p>
        </w:tc>
      </w:tr>
    </w:tbl>
    <w:p w:rsidR="00442317" w:rsidRDefault="0074296A" w:rsidP="00725DE9">
      <w:pPr>
        <w:pStyle w:val="Heading1"/>
        <w:rPr>
          <w:rFonts w:ascii="Arial" w:hAnsi="Arial" w:cs="Arial"/>
          <w:color w:val="auto"/>
        </w:rPr>
      </w:pPr>
      <w:r>
        <w:rPr>
          <w:rFonts w:ascii="Arial" w:hAnsi="Arial" w:cs="Arial"/>
          <w:color w:val="auto"/>
        </w:rPr>
        <w:t>Course Objectives</w:t>
      </w:r>
    </w:p>
    <w:p w:rsidR="00922143" w:rsidRPr="00922143" w:rsidRDefault="00922143" w:rsidP="00922143"/>
    <w:p w:rsidR="00922143" w:rsidRDefault="00922143" w:rsidP="00922143">
      <w:r>
        <w:t xml:space="preserve">In this course you will </w:t>
      </w:r>
      <w:r w:rsidR="00295EEB">
        <w:t>improve</w:t>
      </w:r>
      <w:r>
        <w:t xml:space="preserve"> understanding </w:t>
      </w:r>
      <w:r w:rsidR="00295EEB">
        <w:t xml:space="preserve">of </w:t>
      </w:r>
      <w:r>
        <w:t>the process and tools used in Ethical Hacking and Penetration Testing.</w:t>
      </w:r>
    </w:p>
    <w:p w:rsidR="00922143" w:rsidRDefault="00922143" w:rsidP="00922143">
      <w:r>
        <w:t>The Key subject areas that are covered in the course are:</w:t>
      </w:r>
    </w:p>
    <w:p w:rsidR="00922143" w:rsidRDefault="00295EEB" w:rsidP="00922143">
      <w:pPr>
        <w:pStyle w:val="ListParagraph"/>
        <w:numPr>
          <w:ilvl w:val="0"/>
          <w:numId w:val="2"/>
        </w:numPr>
      </w:pPr>
      <w:r>
        <w:t xml:space="preserve">Utilization of the </w:t>
      </w:r>
      <w:proofErr w:type="spellStart"/>
      <w:r>
        <w:t>MetaSploit</w:t>
      </w:r>
      <w:proofErr w:type="spellEnd"/>
      <w:r>
        <w:t xml:space="preserve"> Framework in penetration testing</w:t>
      </w:r>
    </w:p>
    <w:p w:rsidR="00922143" w:rsidRDefault="00295EEB" w:rsidP="00922143">
      <w:pPr>
        <w:pStyle w:val="ListParagraph"/>
        <w:numPr>
          <w:ilvl w:val="0"/>
          <w:numId w:val="2"/>
        </w:numPr>
      </w:pPr>
      <w:r>
        <w:t xml:space="preserve">Web Application Hacking with Intercepting Proxies and the </w:t>
      </w:r>
      <w:proofErr w:type="spellStart"/>
      <w:r>
        <w:t>WebGoat</w:t>
      </w:r>
      <w:proofErr w:type="spellEnd"/>
      <w:r>
        <w:t xml:space="preserve"> application</w:t>
      </w:r>
    </w:p>
    <w:p w:rsidR="00922143" w:rsidRDefault="00295EEB" w:rsidP="00922143">
      <w:pPr>
        <w:pStyle w:val="ListParagraph"/>
        <w:numPr>
          <w:ilvl w:val="0"/>
          <w:numId w:val="2"/>
        </w:numPr>
      </w:pPr>
      <w:r>
        <w:t>Wireless Security and techniques to break wireless security</w:t>
      </w:r>
    </w:p>
    <w:p w:rsidR="0074296A" w:rsidRDefault="0074296A" w:rsidP="0074296A">
      <w:pPr>
        <w:pStyle w:val="Heading1"/>
        <w:rPr>
          <w:color w:val="auto"/>
        </w:rPr>
      </w:pPr>
      <w:r w:rsidRPr="0074296A">
        <w:rPr>
          <w:color w:val="auto"/>
        </w:rPr>
        <w:t>Grading</w:t>
      </w:r>
    </w:p>
    <w:p w:rsidR="005935AF" w:rsidRPr="005935AF" w:rsidRDefault="005935AF" w:rsidP="005935AF"/>
    <w:tbl>
      <w:tblPr>
        <w:tblStyle w:val="TableGrid"/>
        <w:tblW w:w="0" w:type="auto"/>
        <w:tblInd w:w="108" w:type="dxa"/>
        <w:tblLook w:val="04A0" w:firstRow="1" w:lastRow="0" w:firstColumn="1" w:lastColumn="0" w:noHBand="0" w:noVBand="1"/>
      </w:tblPr>
      <w:tblGrid>
        <w:gridCol w:w="1949"/>
        <w:gridCol w:w="2644"/>
      </w:tblGrid>
      <w:tr w:rsidR="005935AF" w:rsidTr="005935AF">
        <w:tc>
          <w:tcPr>
            <w:tcW w:w="1949" w:type="dxa"/>
            <w:shd w:val="clear" w:color="auto" w:fill="D9D9D9" w:themeFill="background1" w:themeFillShade="D9"/>
          </w:tcPr>
          <w:p w:rsidR="005935AF" w:rsidRPr="005935AF" w:rsidRDefault="005935AF" w:rsidP="00EB2E70">
            <w:pPr>
              <w:rPr>
                <w:rFonts w:ascii="Arial" w:hAnsi="Arial" w:cs="Arial"/>
                <w:sz w:val="24"/>
                <w:szCs w:val="24"/>
              </w:rPr>
            </w:pPr>
            <w:r w:rsidRPr="005935AF">
              <w:rPr>
                <w:rFonts w:ascii="Arial" w:hAnsi="Arial" w:cs="Arial"/>
                <w:sz w:val="24"/>
                <w:szCs w:val="24"/>
              </w:rPr>
              <w:t>Item</w:t>
            </w:r>
          </w:p>
        </w:tc>
        <w:tc>
          <w:tcPr>
            <w:tcW w:w="2644" w:type="dxa"/>
            <w:shd w:val="clear" w:color="auto" w:fill="D9D9D9" w:themeFill="background1" w:themeFillShade="D9"/>
          </w:tcPr>
          <w:p w:rsidR="005935AF" w:rsidRDefault="005935AF" w:rsidP="005935AF">
            <w:pPr>
              <w:rPr>
                <w:rFonts w:ascii="Arial" w:hAnsi="Arial" w:cs="Arial"/>
                <w:sz w:val="24"/>
                <w:szCs w:val="24"/>
              </w:rPr>
            </w:pPr>
            <w:r>
              <w:rPr>
                <w:rFonts w:ascii="Arial" w:hAnsi="Arial" w:cs="Arial"/>
                <w:sz w:val="24"/>
                <w:szCs w:val="24"/>
              </w:rPr>
              <w:t>Percentage of</w:t>
            </w:r>
          </w:p>
          <w:p w:rsidR="005935AF" w:rsidRPr="005935AF" w:rsidRDefault="005935AF" w:rsidP="005935AF">
            <w:pPr>
              <w:rPr>
                <w:rFonts w:ascii="Arial" w:hAnsi="Arial" w:cs="Arial"/>
                <w:sz w:val="24"/>
                <w:szCs w:val="24"/>
              </w:rPr>
            </w:pPr>
            <w:r>
              <w:rPr>
                <w:rFonts w:ascii="Arial" w:hAnsi="Arial" w:cs="Arial"/>
                <w:sz w:val="24"/>
                <w:szCs w:val="24"/>
              </w:rPr>
              <w:t>Total Points</w:t>
            </w:r>
          </w:p>
        </w:tc>
      </w:tr>
      <w:tr w:rsidR="005935AF" w:rsidTr="005935AF">
        <w:tc>
          <w:tcPr>
            <w:tcW w:w="1949" w:type="dxa"/>
          </w:tcPr>
          <w:p w:rsidR="005935AF" w:rsidRPr="005935AF" w:rsidRDefault="005935AF" w:rsidP="00EB2E70">
            <w:pPr>
              <w:rPr>
                <w:rFonts w:ascii="Arial" w:hAnsi="Arial" w:cs="Arial"/>
                <w:sz w:val="24"/>
                <w:szCs w:val="24"/>
              </w:rPr>
            </w:pPr>
            <w:r w:rsidRPr="005935AF">
              <w:rPr>
                <w:rFonts w:ascii="Arial" w:hAnsi="Arial" w:cs="Arial"/>
                <w:sz w:val="24"/>
                <w:szCs w:val="24"/>
              </w:rPr>
              <w:t>Participation</w:t>
            </w:r>
          </w:p>
        </w:tc>
        <w:tc>
          <w:tcPr>
            <w:tcW w:w="2644" w:type="dxa"/>
          </w:tcPr>
          <w:p w:rsidR="005935AF" w:rsidRPr="005935AF" w:rsidRDefault="005935AF" w:rsidP="00EB2E70">
            <w:pPr>
              <w:rPr>
                <w:rFonts w:ascii="Arial" w:hAnsi="Arial" w:cs="Arial"/>
                <w:sz w:val="24"/>
                <w:szCs w:val="24"/>
              </w:rPr>
            </w:pPr>
            <w:r w:rsidRPr="005935AF">
              <w:rPr>
                <w:rFonts w:ascii="Arial" w:hAnsi="Arial" w:cs="Arial"/>
                <w:sz w:val="24"/>
                <w:szCs w:val="24"/>
              </w:rPr>
              <w:t>20%</w:t>
            </w:r>
          </w:p>
        </w:tc>
      </w:tr>
      <w:tr w:rsidR="005935AF" w:rsidTr="005935AF">
        <w:tc>
          <w:tcPr>
            <w:tcW w:w="1949" w:type="dxa"/>
          </w:tcPr>
          <w:p w:rsidR="005935AF" w:rsidRPr="005935AF" w:rsidRDefault="005935AF" w:rsidP="00EB2E70">
            <w:pPr>
              <w:rPr>
                <w:rFonts w:ascii="Arial" w:hAnsi="Arial" w:cs="Arial"/>
                <w:sz w:val="24"/>
                <w:szCs w:val="24"/>
              </w:rPr>
            </w:pPr>
            <w:r w:rsidRPr="005935AF">
              <w:rPr>
                <w:rFonts w:ascii="Arial" w:hAnsi="Arial" w:cs="Arial"/>
                <w:sz w:val="24"/>
                <w:szCs w:val="24"/>
              </w:rPr>
              <w:t>Reports</w:t>
            </w:r>
          </w:p>
        </w:tc>
        <w:tc>
          <w:tcPr>
            <w:tcW w:w="2644" w:type="dxa"/>
          </w:tcPr>
          <w:p w:rsidR="005935AF" w:rsidRPr="005935AF" w:rsidRDefault="00E667EE" w:rsidP="00EB2E70">
            <w:pPr>
              <w:rPr>
                <w:rFonts w:ascii="Arial" w:hAnsi="Arial" w:cs="Arial"/>
                <w:sz w:val="24"/>
                <w:szCs w:val="24"/>
              </w:rPr>
            </w:pPr>
            <w:r>
              <w:rPr>
                <w:rFonts w:ascii="Arial" w:hAnsi="Arial" w:cs="Arial"/>
                <w:sz w:val="24"/>
                <w:szCs w:val="24"/>
              </w:rPr>
              <w:t>30</w:t>
            </w:r>
            <w:r w:rsidR="006B758C">
              <w:rPr>
                <w:rFonts w:ascii="Arial" w:hAnsi="Arial" w:cs="Arial"/>
                <w:sz w:val="24"/>
                <w:szCs w:val="24"/>
              </w:rPr>
              <w:t>% (15</w:t>
            </w:r>
            <w:r w:rsidR="005935AF" w:rsidRPr="005935AF">
              <w:rPr>
                <w:rFonts w:ascii="Arial" w:hAnsi="Arial" w:cs="Arial"/>
                <w:sz w:val="24"/>
                <w:szCs w:val="24"/>
              </w:rPr>
              <w:t>% per report)</w:t>
            </w:r>
          </w:p>
        </w:tc>
      </w:tr>
      <w:tr w:rsidR="005935AF" w:rsidTr="005935AF">
        <w:tc>
          <w:tcPr>
            <w:tcW w:w="1949" w:type="dxa"/>
          </w:tcPr>
          <w:p w:rsidR="005935AF" w:rsidRPr="005935AF" w:rsidRDefault="00295EEB" w:rsidP="00295EEB">
            <w:pPr>
              <w:rPr>
                <w:rFonts w:ascii="Arial" w:hAnsi="Arial" w:cs="Arial"/>
                <w:sz w:val="24"/>
                <w:szCs w:val="24"/>
              </w:rPr>
            </w:pPr>
            <w:r>
              <w:rPr>
                <w:rFonts w:ascii="Arial" w:hAnsi="Arial" w:cs="Arial"/>
                <w:sz w:val="24"/>
                <w:szCs w:val="24"/>
              </w:rPr>
              <w:t>Test 1</w:t>
            </w:r>
          </w:p>
        </w:tc>
        <w:tc>
          <w:tcPr>
            <w:tcW w:w="2644" w:type="dxa"/>
          </w:tcPr>
          <w:p w:rsidR="005935AF" w:rsidRPr="005935AF" w:rsidRDefault="00295EEB" w:rsidP="00E667EE">
            <w:pPr>
              <w:rPr>
                <w:rFonts w:ascii="Arial" w:hAnsi="Arial" w:cs="Arial"/>
                <w:sz w:val="24"/>
                <w:szCs w:val="24"/>
              </w:rPr>
            </w:pPr>
            <w:r>
              <w:rPr>
                <w:rFonts w:ascii="Arial" w:hAnsi="Arial" w:cs="Arial"/>
                <w:sz w:val="24"/>
                <w:szCs w:val="24"/>
              </w:rPr>
              <w:t>15</w:t>
            </w:r>
            <w:r w:rsidR="005935AF" w:rsidRPr="005935AF">
              <w:rPr>
                <w:rFonts w:ascii="Arial" w:hAnsi="Arial" w:cs="Arial"/>
                <w:sz w:val="24"/>
                <w:szCs w:val="24"/>
              </w:rPr>
              <w:t>%</w:t>
            </w:r>
          </w:p>
        </w:tc>
      </w:tr>
      <w:tr w:rsidR="00295EEB" w:rsidTr="005935AF">
        <w:tc>
          <w:tcPr>
            <w:tcW w:w="1949" w:type="dxa"/>
          </w:tcPr>
          <w:p w:rsidR="00295EEB" w:rsidRPr="005935AF" w:rsidRDefault="00295EEB" w:rsidP="00EB2E70">
            <w:pPr>
              <w:rPr>
                <w:rFonts w:ascii="Arial" w:hAnsi="Arial" w:cs="Arial"/>
                <w:sz w:val="24"/>
                <w:szCs w:val="24"/>
              </w:rPr>
            </w:pPr>
            <w:r>
              <w:rPr>
                <w:rFonts w:ascii="Arial" w:hAnsi="Arial" w:cs="Arial"/>
                <w:sz w:val="24"/>
                <w:szCs w:val="24"/>
              </w:rPr>
              <w:t>Test 2</w:t>
            </w:r>
          </w:p>
        </w:tc>
        <w:tc>
          <w:tcPr>
            <w:tcW w:w="2644" w:type="dxa"/>
          </w:tcPr>
          <w:p w:rsidR="00295EEB" w:rsidRDefault="00295EEB" w:rsidP="00E667EE">
            <w:pPr>
              <w:rPr>
                <w:rFonts w:ascii="Arial" w:hAnsi="Arial" w:cs="Arial"/>
                <w:sz w:val="24"/>
                <w:szCs w:val="24"/>
              </w:rPr>
            </w:pPr>
            <w:r>
              <w:rPr>
                <w:rFonts w:ascii="Arial" w:hAnsi="Arial" w:cs="Arial"/>
                <w:sz w:val="24"/>
                <w:szCs w:val="24"/>
              </w:rPr>
              <w:t>15</w:t>
            </w:r>
            <w:r w:rsidRPr="005935AF">
              <w:rPr>
                <w:rFonts w:ascii="Arial" w:hAnsi="Arial" w:cs="Arial"/>
                <w:sz w:val="24"/>
                <w:szCs w:val="24"/>
              </w:rPr>
              <w:t>%</w:t>
            </w:r>
          </w:p>
        </w:tc>
      </w:tr>
      <w:tr w:rsidR="005935AF" w:rsidTr="005935AF">
        <w:tc>
          <w:tcPr>
            <w:tcW w:w="1949" w:type="dxa"/>
          </w:tcPr>
          <w:p w:rsidR="005935AF" w:rsidRPr="005935AF" w:rsidRDefault="00295EEB" w:rsidP="00EB2E70">
            <w:pPr>
              <w:rPr>
                <w:rFonts w:ascii="Arial" w:hAnsi="Arial" w:cs="Arial"/>
                <w:sz w:val="24"/>
                <w:szCs w:val="24"/>
              </w:rPr>
            </w:pPr>
            <w:r>
              <w:rPr>
                <w:rFonts w:ascii="Arial" w:hAnsi="Arial" w:cs="Arial"/>
                <w:sz w:val="24"/>
                <w:szCs w:val="24"/>
              </w:rPr>
              <w:t>Test 3</w:t>
            </w:r>
          </w:p>
        </w:tc>
        <w:tc>
          <w:tcPr>
            <w:tcW w:w="2644" w:type="dxa"/>
          </w:tcPr>
          <w:p w:rsidR="005935AF" w:rsidRPr="005935AF" w:rsidRDefault="00D36CF2" w:rsidP="00295EEB">
            <w:pPr>
              <w:rPr>
                <w:rFonts w:ascii="Arial" w:hAnsi="Arial" w:cs="Arial"/>
                <w:sz w:val="24"/>
                <w:szCs w:val="24"/>
              </w:rPr>
            </w:pPr>
            <w:r>
              <w:rPr>
                <w:rFonts w:ascii="Arial" w:hAnsi="Arial" w:cs="Arial"/>
                <w:sz w:val="24"/>
                <w:szCs w:val="24"/>
              </w:rPr>
              <w:t>2</w:t>
            </w:r>
            <w:r w:rsidR="00295EEB">
              <w:rPr>
                <w:rFonts w:ascii="Arial" w:hAnsi="Arial" w:cs="Arial"/>
                <w:sz w:val="24"/>
                <w:szCs w:val="24"/>
              </w:rPr>
              <w:t>0</w:t>
            </w:r>
            <w:r w:rsidR="005935AF" w:rsidRPr="005935AF">
              <w:rPr>
                <w:rFonts w:ascii="Arial" w:hAnsi="Arial" w:cs="Arial"/>
                <w:sz w:val="24"/>
                <w:szCs w:val="24"/>
              </w:rPr>
              <w:t>%</w:t>
            </w:r>
          </w:p>
        </w:tc>
      </w:tr>
      <w:tr w:rsidR="005935AF" w:rsidTr="005935AF">
        <w:tc>
          <w:tcPr>
            <w:tcW w:w="1949" w:type="dxa"/>
            <w:shd w:val="clear" w:color="auto" w:fill="BFBFBF" w:themeFill="background1" w:themeFillShade="BF"/>
          </w:tcPr>
          <w:p w:rsidR="005935AF" w:rsidRPr="005935AF" w:rsidRDefault="005935AF" w:rsidP="00EB2E70">
            <w:pPr>
              <w:rPr>
                <w:rFonts w:ascii="Arial" w:hAnsi="Arial" w:cs="Arial"/>
                <w:sz w:val="24"/>
                <w:szCs w:val="24"/>
              </w:rPr>
            </w:pPr>
            <w:r w:rsidRPr="005935AF">
              <w:rPr>
                <w:rFonts w:ascii="Arial" w:hAnsi="Arial" w:cs="Arial"/>
                <w:sz w:val="24"/>
                <w:szCs w:val="24"/>
              </w:rPr>
              <w:t>Total</w:t>
            </w:r>
          </w:p>
        </w:tc>
        <w:tc>
          <w:tcPr>
            <w:tcW w:w="2644" w:type="dxa"/>
            <w:shd w:val="clear" w:color="auto" w:fill="BFBFBF" w:themeFill="background1" w:themeFillShade="BF"/>
          </w:tcPr>
          <w:p w:rsidR="005935AF" w:rsidRPr="005935AF" w:rsidRDefault="005935AF" w:rsidP="00EB2E70">
            <w:pPr>
              <w:rPr>
                <w:rFonts w:ascii="Arial" w:hAnsi="Arial" w:cs="Arial"/>
                <w:sz w:val="24"/>
                <w:szCs w:val="24"/>
              </w:rPr>
            </w:pPr>
            <w:r w:rsidRPr="005935AF">
              <w:rPr>
                <w:rFonts w:ascii="Arial" w:hAnsi="Arial" w:cs="Arial"/>
                <w:sz w:val="24"/>
                <w:szCs w:val="24"/>
              </w:rPr>
              <w:t>100%</w:t>
            </w:r>
          </w:p>
        </w:tc>
      </w:tr>
    </w:tbl>
    <w:p w:rsidR="0074296A" w:rsidRDefault="0074296A" w:rsidP="0074296A"/>
    <w:p w:rsidR="0074296A" w:rsidRDefault="0074296A" w:rsidP="0074296A">
      <w:pPr>
        <w:pStyle w:val="Heading1"/>
        <w:rPr>
          <w:color w:val="auto"/>
        </w:rPr>
      </w:pPr>
      <w:r w:rsidRPr="0074296A">
        <w:rPr>
          <w:color w:val="auto"/>
        </w:rPr>
        <w:lastRenderedPageBreak/>
        <w:t>Participation</w:t>
      </w:r>
    </w:p>
    <w:p w:rsidR="007E41BA" w:rsidRPr="007E41BA" w:rsidRDefault="007E41BA" w:rsidP="007E41BA"/>
    <w:p w:rsidR="005935AF" w:rsidRDefault="005935AF" w:rsidP="005935AF">
      <w:r>
        <w:t>Much of your learning will occur as you prepare for and participate in discussions about</w:t>
      </w:r>
      <w:r w:rsidR="00D36CF2">
        <w:t xml:space="preserve"> </w:t>
      </w:r>
      <w:r>
        <w:t xml:space="preserve">the course material. </w:t>
      </w:r>
      <w:r w:rsidR="007E41BA">
        <w:t xml:space="preserve"> </w:t>
      </w:r>
      <w:r>
        <w:t xml:space="preserve">The assignments, </w:t>
      </w:r>
      <w:r w:rsidR="007E41BA">
        <w:t>analysis</w:t>
      </w:r>
      <w:r>
        <w:t>, and readings have been carefully</w:t>
      </w:r>
      <w:r w:rsidR="00D36CF2">
        <w:t xml:space="preserve"> </w:t>
      </w:r>
      <w:r>
        <w:t>chosen to bring the real world into class discussion while also illustrating fundamental</w:t>
      </w:r>
      <w:r w:rsidR="00D36CF2">
        <w:t xml:space="preserve"> </w:t>
      </w:r>
      <w:r>
        <w:t>concepts.</w:t>
      </w:r>
    </w:p>
    <w:p w:rsidR="005935AF" w:rsidRDefault="005935AF" w:rsidP="005935AF">
      <w:r>
        <w:t>To encourage participation, 20% of the course grade is earned by preparing before class</w:t>
      </w:r>
      <w:r w:rsidR="00D36CF2">
        <w:t xml:space="preserve"> </w:t>
      </w:r>
      <w:r>
        <w:t>and discussing the topics between and in class. Evaluation is based on you consistently</w:t>
      </w:r>
      <w:r w:rsidR="00D36CF2">
        <w:t xml:space="preserve"> </w:t>
      </w:r>
      <w:r>
        <w:t>demonstrating your engagement with the material. Assessment is based on what you</w:t>
      </w:r>
      <w:r w:rsidR="00D36CF2">
        <w:t xml:space="preserve"> </w:t>
      </w:r>
      <w:r>
        <w:t>contribute, not simply what you know.</w:t>
      </w:r>
    </w:p>
    <w:p w:rsidR="005935AF" w:rsidRDefault="005935AF" w:rsidP="005935AF">
      <w:pPr>
        <w:pStyle w:val="ListParagraph"/>
        <w:numPr>
          <w:ilvl w:val="0"/>
          <w:numId w:val="1"/>
        </w:numPr>
      </w:pPr>
      <w:r>
        <w:t>Preparation before class – To facilitate active participation in the class I request that you do the following before noon on the day of the class:</w:t>
      </w:r>
    </w:p>
    <w:p w:rsidR="005935AF" w:rsidRDefault="005935AF" w:rsidP="005935AF">
      <w:pPr>
        <w:ind w:firstLine="720"/>
      </w:pPr>
      <w:r>
        <w:t>Briefly address and summarize:</w:t>
      </w:r>
    </w:p>
    <w:p w:rsidR="005935AF" w:rsidRDefault="005935AF" w:rsidP="005935AF">
      <w:pPr>
        <w:pStyle w:val="ListParagraph"/>
        <w:numPr>
          <w:ilvl w:val="1"/>
          <w:numId w:val="1"/>
        </w:numPr>
      </w:pPr>
      <w:r>
        <w:t>One key point you took from each assigned reading. (One or two sentences per reading)</w:t>
      </w:r>
    </w:p>
    <w:p w:rsidR="005935AF" w:rsidRDefault="005935AF" w:rsidP="005935AF">
      <w:pPr>
        <w:pStyle w:val="ListParagraph"/>
        <w:numPr>
          <w:ilvl w:val="1"/>
          <w:numId w:val="1"/>
        </w:numPr>
      </w:pPr>
      <w:r>
        <w:t>One question that you would ask your fellow classmates that facilitates discussion.</w:t>
      </w:r>
    </w:p>
    <w:p w:rsidR="005935AF" w:rsidRDefault="005935AF" w:rsidP="005935AF">
      <w:pPr>
        <w:ind w:left="720"/>
      </w:pPr>
      <w:r>
        <w:t xml:space="preserve">I will also require that you identify, and are prepared to discuss, an article about a current event in the </w:t>
      </w:r>
      <w:r w:rsidR="007E41BA">
        <w:t xml:space="preserve">Ethical Hacking and Penetration Testing </w:t>
      </w:r>
      <w:r>
        <w:t xml:space="preserve">arena each week. </w:t>
      </w:r>
      <w:r w:rsidR="007E41BA">
        <w:t xml:space="preserve"> </w:t>
      </w:r>
      <w:r>
        <w:t>Each student is expected to contribute a link to an article to the online class discussion each week.</w:t>
      </w:r>
      <w:r w:rsidR="007E41BA">
        <w:t xml:space="preserve"> </w:t>
      </w:r>
      <w:r>
        <w:t xml:space="preserve"> An ideal article would be tied thematically to the topic of the week.</w:t>
      </w:r>
    </w:p>
    <w:p w:rsidR="005935AF" w:rsidRDefault="005935AF" w:rsidP="005935AF">
      <w:pPr>
        <w:ind w:left="720"/>
      </w:pPr>
      <w:r>
        <w:t>However, any article you find interesting and would like to share is welcome. The deadline for posting is noon on the day of class.</w:t>
      </w:r>
    </w:p>
    <w:p w:rsidR="005935AF" w:rsidRDefault="005935AF" w:rsidP="005935AF">
      <w:pPr>
        <w:pStyle w:val="ListParagraph"/>
        <w:numPr>
          <w:ilvl w:val="0"/>
          <w:numId w:val="1"/>
        </w:numPr>
      </w:pPr>
      <w:r>
        <w:t xml:space="preserve">Participation during class – We will typically start each session with “opening” questions about the assigned readings and </w:t>
      </w:r>
      <w:r w:rsidR="007E41BA">
        <w:t>analyses</w:t>
      </w:r>
      <w:r>
        <w:t xml:space="preserve">. </w:t>
      </w:r>
      <w:r w:rsidR="007E41BA">
        <w:t xml:space="preserve"> </w:t>
      </w:r>
      <w:r>
        <w:t xml:space="preserve">I may ask for volunteers, or I may call on you. </w:t>
      </w:r>
      <w:r w:rsidR="007E41BA">
        <w:t xml:space="preserve"> </w:t>
      </w:r>
      <w:r>
        <w:t xml:space="preserve">Students called on to answer should be able to summarize the key issues, opportunities, and challenges in the </w:t>
      </w:r>
      <w:r w:rsidR="007E41BA">
        <w:t>analyses</w:t>
      </w:r>
      <w:r>
        <w:t xml:space="preserve">. </w:t>
      </w:r>
      <w:r w:rsidR="007E41BA">
        <w:t xml:space="preserve"> </w:t>
      </w:r>
      <w:r>
        <w:t>All students should be prepared to answer these questions.</w:t>
      </w:r>
    </w:p>
    <w:p w:rsidR="005935AF" w:rsidRDefault="005935AF" w:rsidP="005935AF">
      <w:pPr>
        <w:ind w:left="720"/>
      </w:pPr>
      <w:r>
        <w:t>Another important aspect of in-class participation is completion of in-class assignments and contribution to any break out activities.</w:t>
      </w:r>
    </w:p>
    <w:p w:rsidR="005935AF" w:rsidRDefault="005935AF" w:rsidP="005935AF">
      <w:pPr>
        <w:pStyle w:val="ListParagraph"/>
        <w:numPr>
          <w:ilvl w:val="0"/>
          <w:numId w:val="1"/>
        </w:numPr>
      </w:pPr>
      <w:r>
        <w:t>Participation between classes – To facilitate ongoing learning of the course material, we will also discuss course material on the class blog in between class.</w:t>
      </w:r>
    </w:p>
    <w:p w:rsidR="00DB4EEA" w:rsidRDefault="005935AF" w:rsidP="005935AF">
      <w:r>
        <w:t xml:space="preserve">You will post </w:t>
      </w:r>
      <w:r w:rsidR="007E41BA">
        <w:t>analyses</w:t>
      </w:r>
      <w:r>
        <w:t xml:space="preserve"> to the course website.</w:t>
      </w:r>
      <w:r w:rsidR="007E41BA">
        <w:t xml:space="preserve"> </w:t>
      </w:r>
      <w:r>
        <w:t xml:space="preserve"> </w:t>
      </w:r>
    </w:p>
    <w:p w:rsidR="0074296A" w:rsidRPr="0074296A" w:rsidRDefault="005935AF" w:rsidP="005935AF">
      <w:r>
        <w:t>The criteria for participation includes attendance, punctuality, level of preparation, professionalism, answering questions, discussing readings, discussing case studies, contributing to group activities, and contributing to a positive learning environment.</w:t>
      </w:r>
      <w:r w:rsidR="00D36CF2">
        <w:t xml:space="preserve"> </w:t>
      </w:r>
      <w:r>
        <w:t xml:space="preserve">Recognizing that students sometimes have unavoidable </w:t>
      </w:r>
      <w:r>
        <w:lastRenderedPageBreak/>
        <w:t>conflicts, the baseline for</w:t>
      </w:r>
      <w:r w:rsidR="00D36CF2">
        <w:t xml:space="preserve"> </w:t>
      </w:r>
      <w:r>
        <w:t>expected participation is assessed on one less week than the number of assigned</w:t>
      </w:r>
      <w:r w:rsidR="00D36CF2">
        <w:t xml:space="preserve"> </w:t>
      </w:r>
      <w:r>
        <w:t>weekly write-ups.</w:t>
      </w:r>
    </w:p>
    <w:p w:rsidR="0074296A" w:rsidRPr="0074296A" w:rsidRDefault="0074296A" w:rsidP="0074296A">
      <w:pPr>
        <w:pStyle w:val="Heading1"/>
        <w:rPr>
          <w:color w:val="auto"/>
        </w:rPr>
      </w:pPr>
      <w:r w:rsidRPr="0074296A">
        <w:rPr>
          <w:color w:val="auto"/>
        </w:rPr>
        <w:t>Exercise Analysis</w:t>
      </w:r>
    </w:p>
    <w:p w:rsidR="00D36CF2" w:rsidRDefault="00D36CF2" w:rsidP="00D36CF2">
      <w:r>
        <w:t xml:space="preserve">You will officially prepare </w:t>
      </w:r>
      <w:r w:rsidR="00E667EE">
        <w:t>three</w:t>
      </w:r>
      <w:r w:rsidR="00012022">
        <w:t xml:space="preserve"> analys</w:t>
      </w:r>
      <w:r w:rsidR="007E41BA">
        <w:t>e</w:t>
      </w:r>
      <w:r w:rsidR="00012022">
        <w:t>s reports that are</w:t>
      </w:r>
      <w:r>
        <w:t xml:space="preserve"> assign</w:t>
      </w:r>
      <w:r w:rsidR="00012022">
        <w:t>ed</w:t>
      </w:r>
      <w:r>
        <w:t xml:space="preserve"> during the semester. </w:t>
      </w:r>
      <w:r w:rsidR="00012022">
        <w:t xml:space="preserve">  </w:t>
      </w:r>
      <w:r>
        <w:t xml:space="preserve">For each </w:t>
      </w:r>
      <w:r w:rsidR="00012022">
        <w:t xml:space="preserve">assignment students are to break into groups and work together to prepare a one to two page report and a presentation of no more than four slides for presentation in the following class.  </w:t>
      </w:r>
      <w:r>
        <w:t>Your analysis should not exceed one single-spaced page using 11 point Times New Roman font with one-inch margins. Do not prepare a separate cover page, instead put your name, the class section number (MIS521</w:t>
      </w:r>
      <w:r w:rsidR="00295EEB">
        <w:t>2</w:t>
      </w:r>
      <w:r>
        <w:t xml:space="preserve">.001), and the </w:t>
      </w:r>
      <w:r w:rsidR="007E41BA">
        <w:t>analysis</w:t>
      </w:r>
      <w:r>
        <w:t xml:space="preserve"> in the top-left corner of the header.</w:t>
      </w:r>
    </w:p>
    <w:p w:rsidR="00D36CF2" w:rsidRDefault="00D36CF2" w:rsidP="00D36CF2">
      <w:r>
        <w:t xml:space="preserve">To submit your analysis, you must post it on the class blog no later than </w:t>
      </w:r>
      <w:r w:rsidRPr="00D36CF2">
        <w:rPr>
          <w:b/>
        </w:rPr>
        <w:t>Tuesday at 8:00 AM</w:t>
      </w:r>
      <w:r>
        <w:t xml:space="preserve"> of the week it is due. </w:t>
      </w:r>
      <w:r w:rsidR="007E41BA">
        <w:t xml:space="preserve"> </w:t>
      </w:r>
      <w:r>
        <w:t>Please copy your analysis in clear text onto the blog.</w:t>
      </w:r>
    </w:p>
    <w:p w:rsidR="00D36CF2" w:rsidRPr="00D36CF2" w:rsidRDefault="00D36CF2" w:rsidP="00D36CF2">
      <w:pPr>
        <w:rPr>
          <w:b/>
        </w:rPr>
      </w:pPr>
      <w:r w:rsidRPr="00D36CF2">
        <w:rPr>
          <w:b/>
        </w:rPr>
        <w:t>Late submissions for this deadline will result in no credit earned for this assignment.</w:t>
      </w:r>
    </w:p>
    <w:p w:rsidR="00D36CF2" w:rsidRDefault="00D36CF2" w:rsidP="00D36CF2">
      <w:r>
        <w:t>There is no one particular style for a good analysis. But, there are some common elements to excellent submissions (additional, grade-specific criteria are provided at the end of this syllabus):</w:t>
      </w:r>
    </w:p>
    <w:p w:rsidR="00D36CF2" w:rsidRDefault="00D36CF2" w:rsidP="00D36CF2">
      <w:r>
        <w:t xml:space="preserve">• The opening of the analysis makes it immediately clear which </w:t>
      </w:r>
      <w:r w:rsidR="00E667EE">
        <w:t>assignment and</w:t>
      </w:r>
      <w:r>
        <w:t xml:space="preserve"> what question is being addressed.</w:t>
      </w:r>
    </w:p>
    <w:p w:rsidR="00D36CF2" w:rsidRDefault="00D36CF2" w:rsidP="00D36CF2">
      <w:r>
        <w:t xml:space="preserve">• You have cited specific details regarding key facts and issues of the case. Instead of general observations about information technology or organizations that apply to any problem, draw details from the </w:t>
      </w:r>
      <w:r w:rsidR="00DB4EEA">
        <w:t>assignment</w:t>
      </w:r>
      <w:r>
        <w:t xml:space="preserve"> itself. Analyses, observations, and suggestions should be tied directly to those key facts and issues. You can also draw on the other readings in the course to inform and support your arguments.</w:t>
      </w:r>
    </w:p>
    <w:p w:rsidR="00D36CF2" w:rsidRDefault="00D36CF2" w:rsidP="00D36CF2">
      <w:r>
        <w:t xml:space="preserve">• After analyzing the details of the </w:t>
      </w:r>
      <w:r w:rsidR="007E41BA">
        <w:t>analysis</w:t>
      </w:r>
      <w:r>
        <w:t>, discuss how its specific issues have broader application. In other words, use your analysis to provide some advice to managerial decision-makers that can be applied to other situations beyond this case.</w:t>
      </w:r>
    </w:p>
    <w:p w:rsidR="0074296A" w:rsidRPr="0074296A" w:rsidRDefault="00D36CF2" w:rsidP="00D36CF2">
      <w:r>
        <w:t>• Provide a balanced perspective. For example, when making a recommendation explain the pros and cons, providing both the rationale (the why) as well as its feasibility (the how). Well-considered recommendations include discussion of potential issues with your solution and conditions that should be in place for your recommendation to be successful.</w:t>
      </w:r>
    </w:p>
    <w:p w:rsidR="0074296A" w:rsidRPr="0074296A" w:rsidRDefault="0074296A" w:rsidP="0074296A"/>
    <w:p w:rsidR="0074296A" w:rsidRPr="0074296A" w:rsidRDefault="0074296A" w:rsidP="0074296A"/>
    <w:p w:rsidR="0074296A" w:rsidRPr="0074296A" w:rsidRDefault="0074296A" w:rsidP="0074296A">
      <w:pPr>
        <w:pStyle w:val="Heading1"/>
        <w:rPr>
          <w:color w:val="auto"/>
        </w:rPr>
      </w:pPr>
      <w:r w:rsidRPr="0074296A">
        <w:rPr>
          <w:color w:val="auto"/>
        </w:rPr>
        <w:lastRenderedPageBreak/>
        <w:t>Exams</w:t>
      </w:r>
    </w:p>
    <w:p w:rsidR="0074296A" w:rsidRDefault="00D36CF2" w:rsidP="00D36CF2">
      <w:r>
        <w:t xml:space="preserve">We will have </w:t>
      </w:r>
      <w:r w:rsidR="00295EEB">
        <w:t>3</w:t>
      </w:r>
      <w:r>
        <w:t xml:space="preserve"> multiple choice question exams. </w:t>
      </w:r>
      <w:r w:rsidR="000275FE">
        <w:t xml:space="preserve"> </w:t>
      </w:r>
      <w:r>
        <w:t xml:space="preserve">The first one will cover </w:t>
      </w:r>
      <w:proofErr w:type="spellStart"/>
      <w:r w:rsidR="00771475">
        <w:t>MetaSploit</w:t>
      </w:r>
      <w:proofErr w:type="spellEnd"/>
      <w:r w:rsidR="00771475">
        <w:t xml:space="preserve"> and will comprise 15% </w:t>
      </w:r>
      <w:r>
        <w:t xml:space="preserve">of your final grade. The second exam will </w:t>
      </w:r>
      <w:r w:rsidR="00771475">
        <w:t xml:space="preserve">cover Web Application Hacking Techniques and will comprise 15% of your final grade.   </w:t>
      </w:r>
      <w:r>
        <w:t xml:space="preserve">The </w:t>
      </w:r>
      <w:r w:rsidR="00771475">
        <w:t>third</w:t>
      </w:r>
      <w:r>
        <w:t xml:space="preserve"> exam </w:t>
      </w:r>
      <w:r w:rsidR="00771475">
        <w:t xml:space="preserve">will cover wireless security and include some comprehensive questions from earlier tests and </w:t>
      </w:r>
      <w:r>
        <w:t>is weighted 20% of your final grade.</w:t>
      </w:r>
    </w:p>
    <w:p w:rsidR="00D36CF2" w:rsidRPr="0074296A" w:rsidRDefault="00D36CF2" w:rsidP="00D36CF2">
      <w:pPr>
        <w:rPr>
          <w:rFonts w:asciiTheme="majorHAnsi" w:eastAsiaTheme="majorEastAsia" w:hAnsiTheme="majorHAnsi" w:cstheme="majorBidi"/>
          <w:sz w:val="28"/>
          <w:szCs w:val="28"/>
        </w:rPr>
      </w:pPr>
    </w:p>
    <w:tbl>
      <w:tblPr>
        <w:tblStyle w:val="TableGrid"/>
        <w:tblW w:w="9765" w:type="dxa"/>
        <w:tblLayout w:type="fixed"/>
        <w:tblLook w:val="04A0" w:firstRow="1" w:lastRow="0" w:firstColumn="1" w:lastColumn="0" w:noHBand="0" w:noVBand="1"/>
      </w:tblPr>
      <w:tblGrid>
        <w:gridCol w:w="1287"/>
        <w:gridCol w:w="8478"/>
      </w:tblGrid>
      <w:tr w:rsidR="0074296A" w:rsidTr="003B438E">
        <w:tc>
          <w:tcPr>
            <w:tcW w:w="9765" w:type="dxa"/>
            <w:gridSpan w:val="2"/>
          </w:tcPr>
          <w:p w:rsidR="0074296A" w:rsidRPr="0074296A" w:rsidRDefault="0074296A" w:rsidP="0074296A">
            <w:pPr>
              <w:jc w:val="center"/>
              <w:rPr>
                <w:rFonts w:ascii="Arial" w:hAnsi="Arial" w:cs="Arial"/>
                <w:b/>
                <w:sz w:val="24"/>
                <w:szCs w:val="24"/>
              </w:rPr>
            </w:pPr>
            <w:r w:rsidRPr="0074296A">
              <w:rPr>
                <w:rFonts w:ascii="Arial" w:hAnsi="Arial" w:cs="Arial"/>
                <w:b/>
                <w:sz w:val="24"/>
                <w:szCs w:val="24"/>
              </w:rPr>
              <w:t>Readings</w:t>
            </w:r>
          </w:p>
        </w:tc>
      </w:tr>
      <w:tr w:rsidR="0074296A" w:rsidTr="003B438E">
        <w:tc>
          <w:tcPr>
            <w:tcW w:w="1287" w:type="dxa"/>
          </w:tcPr>
          <w:p w:rsidR="00D05C24" w:rsidRPr="0074296A" w:rsidRDefault="00771475" w:rsidP="00771475">
            <w:pPr>
              <w:rPr>
                <w:rFonts w:ascii="Arial" w:hAnsi="Arial" w:cs="Arial"/>
                <w:sz w:val="24"/>
                <w:szCs w:val="24"/>
              </w:rPr>
            </w:pPr>
            <w:r>
              <w:t>2</w:t>
            </w:r>
          </w:p>
        </w:tc>
        <w:tc>
          <w:tcPr>
            <w:tcW w:w="8478" w:type="dxa"/>
          </w:tcPr>
          <w:p w:rsidR="001E77BE" w:rsidRDefault="006D4038" w:rsidP="001E77BE">
            <w:pPr>
              <w:rPr>
                <w:rFonts w:ascii="Arial" w:hAnsi="Arial" w:cs="Arial"/>
                <w:sz w:val="24"/>
                <w:szCs w:val="24"/>
              </w:rPr>
            </w:pPr>
            <w:hyperlink r:id="rId8" w:history="1">
              <w:r w:rsidR="001E77BE" w:rsidRPr="001668E5">
                <w:rPr>
                  <w:rStyle w:val="Hyperlink"/>
                  <w:rFonts w:ascii="Arial" w:hAnsi="Arial" w:cs="Arial"/>
                  <w:sz w:val="24"/>
                  <w:szCs w:val="24"/>
                </w:rPr>
                <w:t>http://www.offensive-security.com/metasploit-unleashed/Main_Page</w:t>
              </w:r>
            </w:hyperlink>
          </w:p>
          <w:p w:rsidR="001E77BE" w:rsidRDefault="001E77BE" w:rsidP="001E77BE">
            <w:pPr>
              <w:rPr>
                <w:rFonts w:ascii="Arial" w:hAnsi="Arial" w:cs="Arial"/>
                <w:sz w:val="24"/>
                <w:szCs w:val="24"/>
              </w:rPr>
            </w:pPr>
            <w:r>
              <w:rPr>
                <w:rFonts w:ascii="Arial" w:hAnsi="Arial" w:cs="Arial"/>
                <w:sz w:val="24"/>
                <w:szCs w:val="24"/>
              </w:rPr>
              <w:t>Review Fundamentals, Information Gathering, and Vulnerability Scanning</w:t>
            </w:r>
          </w:p>
          <w:p w:rsidR="001E77BE" w:rsidRPr="0074296A" w:rsidRDefault="001E77BE" w:rsidP="007565CD">
            <w:pPr>
              <w:rPr>
                <w:rFonts w:ascii="Arial" w:hAnsi="Arial" w:cs="Arial"/>
                <w:sz w:val="24"/>
                <w:szCs w:val="24"/>
              </w:rPr>
            </w:pPr>
            <w:r>
              <w:rPr>
                <w:rFonts w:ascii="Arial" w:hAnsi="Arial" w:cs="Arial"/>
                <w:sz w:val="24"/>
                <w:szCs w:val="24"/>
              </w:rPr>
              <w:t>Read Exploit Development, Web App Exploit Development, Client Side Attacks</w:t>
            </w:r>
            <w:r w:rsidR="007565CD">
              <w:rPr>
                <w:rFonts w:ascii="Arial" w:hAnsi="Arial" w:cs="Arial"/>
                <w:sz w:val="24"/>
                <w:szCs w:val="24"/>
              </w:rPr>
              <w:t xml:space="preserve"> and Auxiliary Module Reference</w:t>
            </w:r>
          </w:p>
        </w:tc>
      </w:tr>
      <w:tr w:rsidR="0074296A" w:rsidTr="003B438E">
        <w:tc>
          <w:tcPr>
            <w:tcW w:w="1287" w:type="dxa"/>
          </w:tcPr>
          <w:p w:rsidR="00D05C24" w:rsidRPr="0074296A" w:rsidRDefault="00771475" w:rsidP="0074296A">
            <w:pPr>
              <w:rPr>
                <w:rFonts w:ascii="Arial" w:hAnsi="Arial" w:cs="Arial"/>
                <w:sz w:val="24"/>
                <w:szCs w:val="24"/>
              </w:rPr>
            </w:pPr>
            <w:r>
              <w:t>3</w:t>
            </w:r>
          </w:p>
        </w:tc>
        <w:tc>
          <w:tcPr>
            <w:tcW w:w="8478" w:type="dxa"/>
          </w:tcPr>
          <w:p w:rsidR="001E77BE" w:rsidRDefault="006D4038" w:rsidP="001E77BE">
            <w:pPr>
              <w:rPr>
                <w:rFonts w:ascii="Arial" w:hAnsi="Arial" w:cs="Arial"/>
                <w:sz w:val="24"/>
                <w:szCs w:val="24"/>
              </w:rPr>
            </w:pPr>
            <w:hyperlink r:id="rId9" w:history="1">
              <w:r w:rsidR="001E77BE" w:rsidRPr="001668E5">
                <w:rPr>
                  <w:rStyle w:val="Hyperlink"/>
                  <w:rFonts w:ascii="Arial" w:hAnsi="Arial" w:cs="Arial"/>
                  <w:sz w:val="24"/>
                  <w:szCs w:val="24"/>
                </w:rPr>
                <w:t>http://www.offensive-security.com/metasploit-unleashed/Main_Page</w:t>
              </w:r>
            </w:hyperlink>
          </w:p>
          <w:p w:rsidR="00E81B50" w:rsidRPr="0074296A" w:rsidRDefault="001E77BE" w:rsidP="0074296A">
            <w:pPr>
              <w:rPr>
                <w:rFonts w:ascii="Arial" w:hAnsi="Arial" w:cs="Arial"/>
                <w:sz w:val="24"/>
                <w:szCs w:val="24"/>
              </w:rPr>
            </w:pPr>
            <w:r>
              <w:rPr>
                <w:rFonts w:ascii="Arial" w:hAnsi="Arial" w:cs="Arial"/>
                <w:sz w:val="24"/>
                <w:szCs w:val="24"/>
              </w:rPr>
              <w:t>Read MSF Post Exploitation, Meterpreter Scripting, Maintaining Access</w:t>
            </w:r>
          </w:p>
        </w:tc>
      </w:tr>
      <w:tr w:rsidR="0074296A" w:rsidTr="003B438E">
        <w:tc>
          <w:tcPr>
            <w:tcW w:w="1287" w:type="dxa"/>
          </w:tcPr>
          <w:p w:rsidR="0074296A" w:rsidRPr="0074296A" w:rsidRDefault="00771475" w:rsidP="0074296A">
            <w:pPr>
              <w:rPr>
                <w:rFonts w:ascii="Arial" w:hAnsi="Arial" w:cs="Arial"/>
                <w:sz w:val="24"/>
                <w:szCs w:val="24"/>
              </w:rPr>
            </w:pPr>
            <w:r>
              <w:t>4</w:t>
            </w:r>
          </w:p>
        </w:tc>
        <w:tc>
          <w:tcPr>
            <w:tcW w:w="8478" w:type="dxa"/>
          </w:tcPr>
          <w:p w:rsidR="007565CD" w:rsidRDefault="006D4038" w:rsidP="007565CD">
            <w:pPr>
              <w:rPr>
                <w:rFonts w:ascii="Arial" w:hAnsi="Arial" w:cs="Arial"/>
                <w:sz w:val="24"/>
                <w:szCs w:val="24"/>
              </w:rPr>
            </w:pPr>
            <w:hyperlink r:id="rId10" w:history="1">
              <w:r w:rsidR="007565CD" w:rsidRPr="001668E5">
                <w:rPr>
                  <w:rStyle w:val="Hyperlink"/>
                  <w:rFonts w:ascii="Arial" w:hAnsi="Arial" w:cs="Arial"/>
                  <w:sz w:val="24"/>
                  <w:szCs w:val="24"/>
                </w:rPr>
                <w:t>http://www.offensive-security.com/metasploit-unleashed/Main_Page</w:t>
              </w:r>
            </w:hyperlink>
          </w:p>
          <w:p w:rsidR="007565CD" w:rsidRPr="0074296A" w:rsidRDefault="007565CD" w:rsidP="007565CD">
            <w:pPr>
              <w:rPr>
                <w:rFonts w:ascii="Arial" w:hAnsi="Arial" w:cs="Arial"/>
                <w:sz w:val="24"/>
                <w:szCs w:val="24"/>
              </w:rPr>
            </w:pPr>
            <w:r>
              <w:rPr>
                <w:rFonts w:ascii="Arial" w:hAnsi="Arial" w:cs="Arial"/>
                <w:sz w:val="24"/>
                <w:szCs w:val="24"/>
              </w:rPr>
              <w:t>Read MSF Extended Usage and Metasploit GUIs</w:t>
            </w:r>
          </w:p>
        </w:tc>
      </w:tr>
      <w:tr w:rsidR="0074296A" w:rsidTr="003B438E">
        <w:tc>
          <w:tcPr>
            <w:tcW w:w="1287" w:type="dxa"/>
          </w:tcPr>
          <w:p w:rsidR="0074296A" w:rsidRPr="0074296A" w:rsidRDefault="00771475" w:rsidP="0074296A">
            <w:pPr>
              <w:rPr>
                <w:rFonts w:ascii="Arial" w:hAnsi="Arial" w:cs="Arial"/>
                <w:sz w:val="24"/>
                <w:szCs w:val="24"/>
              </w:rPr>
            </w:pPr>
            <w:r>
              <w:t>5</w:t>
            </w:r>
          </w:p>
        </w:tc>
        <w:tc>
          <w:tcPr>
            <w:tcW w:w="8478" w:type="dxa"/>
          </w:tcPr>
          <w:p w:rsidR="00A050AB" w:rsidRPr="0074296A" w:rsidRDefault="007565CD" w:rsidP="00A050AB">
            <w:pPr>
              <w:rPr>
                <w:rFonts w:ascii="Arial" w:hAnsi="Arial" w:cs="Arial"/>
                <w:sz w:val="24"/>
                <w:szCs w:val="24"/>
              </w:rPr>
            </w:pPr>
            <w:r>
              <w:rPr>
                <w:rFonts w:ascii="Arial" w:hAnsi="Arial" w:cs="Arial"/>
                <w:sz w:val="24"/>
                <w:szCs w:val="24"/>
              </w:rPr>
              <w:t>No Reading Assignment</w:t>
            </w:r>
          </w:p>
        </w:tc>
      </w:tr>
      <w:tr w:rsidR="0074296A" w:rsidTr="003B438E">
        <w:tc>
          <w:tcPr>
            <w:tcW w:w="1287" w:type="dxa"/>
          </w:tcPr>
          <w:p w:rsidR="0074296A" w:rsidRPr="0074296A" w:rsidRDefault="00771475" w:rsidP="0074296A">
            <w:pPr>
              <w:rPr>
                <w:rFonts w:ascii="Arial" w:hAnsi="Arial" w:cs="Arial"/>
                <w:sz w:val="24"/>
                <w:szCs w:val="24"/>
              </w:rPr>
            </w:pPr>
            <w:r>
              <w:t>6</w:t>
            </w:r>
          </w:p>
        </w:tc>
        <w:tc>
          <w:tcPr>
            <w:tcW w:w="8478" w:type="dxa"/>
          </w:tcPr>
          <w:p w:rsidR="00EB7949" w:rsidRDefault="006D4038" w:rsidP="00EB7949">
            <w:pPr>
              <w:rPr>
                <w:rFonts w:ascii="Arial" w:hAnsi="Arial" w:cs="Arial"/>
                <w:sz w:val="24"/>
                <w:szCs w:val="24"/>
              </w:rPr>
            </w:pPr>
            <w:hyperlink r:id="rId11" w:history="1">
              <w:r w:rsidR="00EB7949" w:rsidRPr="00CB0E84">
                <w:rPr>
                  <w:rStyle w:val="Hyperlink"/>
                  <w:rFonts w:ascii="Arial" w:hAnsi="Arial" w:cs="Arial"/>
                  <w:sz w:val="24"/>
                  <w:szCs w:val="24"/>
                </w:rPr>
                <w:t>http://cdn.ttgtmedia.com/rms/pdf/SearchSecurity.in_Burp_%20Suite_tutorial_Part_01.pdf</w:t>
              </w:r>
            </w:hyperlink>
          </w:p>
          <w:p w:rsidR="00EB7949" w:rsidRDefault="00EB7949" w:rsidP="00EB7949">
            <w:pPr>
              <w:rPr>
                <w:rFonts w:ascii="Arial" w:hAnsi="Arial" w:cs="Arial"/>
                <w:sz w:val="24"/>
                <w:szCs w:val="24"/>
              </w:rPr>
            </w:pPr>
          </w:p>
          <w:p w:rsidR="00EB7949" w:rsidRDefault="006D4038" w:rsidP="00EB7949">
            <w:pPr>
              <w:rPr>
                <w:rFonts w:ascii="Arial" w:hAnsi="Arial" w:cs="Arial"/>
                <w:sz w:val="24"/>
                <w:szCs w:val="24"/>
              </w:rPr>
            </w:pPr>
            <w:hyperlink r:id="rId12" w:history="1">
              <w:r w:rsidR="00EB7949" w:rsidRPr="00CB0E84">
                <w:rPr>
                  <w:rStyle w:val="Hyperlink"/>
                  <w:rFonts w:ascii="Arial" w:hAnsi="Arial" w:cs="Arial"/>
                  <w:sz w:val="24"/>
                  <w:szCs w:val="24"/>
                </w:rPr>
                <w:t>http://cdn.ttgtmedia.com/rms/pdf/SearchSecurity.in_Burp_%20Suite_tutorial_Part_02.pdf</w:t>
              </w:r>
            </w:hyperlink>
          </w:p>
          <w:p w:rsidR="00EB7949" w:rsidRDefault="00EB7949" w:rsidP="00EB7949">
            <w:pPr>
              <w:rPr>
                <w:rFonts w:ascii="Arial" w:hAnsi="Arial" w:cs="Arial"/>
                <w:sz w:val="24"/>
                <w:szCs w:val="24"/>
              </w:rPr>
            </w:pPr>
          </w:p>
          <w:p w:rsidR="00EB7949" w:rsidRDefault="006D4038" w:rsidP="00EB7949">
            <w:pPr>
              <w:rPr>
                <w:rFonts w:ascii="Arial" w:hAnsi="Arial" w:cs="Arial"/>
                <w:sz w:val="24"/>
                <w:szCs w:val="24"/>
              </w:rPr>
            </w:pPr>
            <w:hyperlink r:id="rId13" w:history="1">
              <w:r w:rsidR="00EB7949" w:rsidRPr="00CB0E84">
                <w:rPr>
                  <w:rStyle w:val="Hyperlink"/>
                  <w:rFonts w:ascii="Arial" w:hAnsi="Arial" w:cs="Arial"/>
                  <w:sz w:val="24"/>
                  <w:szCs w:val="24"/>
                </w:rPr>
                <w:t>http://cdn.ttgtmedia.com/rms/pdf/SearchSecurity.in_Burp_%20Suite_tutorial_Part_03.pdf</w:t>
              </w:r>
            </w:hyperlink>
          </w:p>
          <w:p w:rsidR="00EB7949" w:rsidRDefault="00EB7949" w:rsidP="00EB7949">
            <w:pPr>
              <w:rPr>
                <w:rFonts w:ascii="Arial" w:hAnsi="Arial" w:cs="Arial"/>
                <w:sz w:val="24"/>
                <w:szCs w:val="24"/>
              </w:rPr>
            </w:pPr>
          </w:p>
          <w:p w:rsidR="00EB7949" w:rsidRDefault="00EB7949" w:rsidP="00EB7949">
            <w:pPr>
              <w:rPr>
                <w:rFonts w:ascii="Arial" w:hAnsi="Arial" w:cs="Arial"/>
                <w:sz w:val="24"/>
                <w:szCs w:val="24"/>
              </w:rPr>
            </w:pPr>
            <w:r>
              <w:rPr>
                <w:rFonts w:ascii="Arial" w:hAnsi="Arial" w:cs="Arial"/>
                <w:sz w:val="24"/>
                <w:szCs w:val="24"/>
              </w:rPr>
              <w:t>We will only use the functionality discussed in the first paper.</w:t>
            </w:r>
          </w:p>
          <w:p w:rsidR="00EB7949" w:rsidRDefault="00EB7949" w:rsidP="00EB7949">
            <w:pPr>
              <w:rPr>
                <w:rFonts w:ascii="Arial" w:hAnsi="Arial" w:cs="Arial"/>
                <w:sz w:val="24"/>
                <w:szCs w:val="24"/>
              </w:rPr>
            </w:pPr>
          </w:p>
          <w:p w:rsidR="00EB7949" w:rsidRDefault="006D4038" w:rsidP="00EB7949">
            <w:pPr>
              <w:rPr>
                <w:rFonts w:ascii="Arial" w:hAnsi="Arial" w:cs="Arial"/>
                <w:sz w:val="24"/>
                <w:szCs w:val="24"/>
              </w:rPr>
            </w:pPr>
            <w:hyperlink r:id="rId14" w:history="1">
              <w:r w:rsidR="00EB7949" w:rsidRPr="00CB0E84">
                <w:rPr>
                  <w:rStyle w:val="Hyperlink"/>
                  <w:rFonts w:ascii="Arial" w:hAnsi="Arial" w:cs="Arial"/>
                  <w:sz w:val="24"/>
                  <w:szCs w:val="24"/>
                </w:rPr>
                <w:t>http://www.sans.org/reading-room/whitepapers/application/web-application-injection-vulnerabilities-web-app-039-s-security-nemesis-34247</w:t>
              </w:r>
            </w:hyperlink>
          </w:p>
          <w:p w:rsidR="00EB7949" w:rsidRDefault="00EB7949" w:rsidP="00EB7949">
            <w:pPr>
              <w:rPr>
                <w:rFonts w:ascii="Arial" w:hAnsi="Arial" w:cs="Arial"/>
                <w:sz w:val="24"/>
                <w:szCs w:val="24"/>
              </w:rPr>
            </w:pPr>
          </w:p>
          <w:p w:rsidR="00292D4B" w:rsidRPr="00292D4B" w:rsidRDefault="006D4038" w:rsidP="00EB7949">
            <w:hyperlink r:id="rId15" w:history="1">
              <w:r w:rsidR="00EB7949" w:rsidRPr="00CB0E84">
                <w:rPr>
                  <w:rStyle w:val="Hyperlink"/>
                  <w:rFonts w:ascii="Arial" w:hAnsi="Arial" w:cs="Arial"/>
                  <w:sz w:val="24"/>
                  <w:szCs w:val="24"/>
                </w:rPr>
                <w:t>http://www.sans.org/reading-room/whitepapers/application/web-application-security-for-managers-27</w:t>
              </w:r>
            </w:hyperlink>
          </w:p>
        </w:tc>
      </w:tr>
      <w:tr w:rsidR="0074296A" w:rsidTr="003B438E">
        <w:tc>
          <w:tcPr>
            <w:tcW w:w="1287" w:type="dxa"/>
          </w:tcPr>
          <w:p w:rsidR="0074296A" w:rsidRPr="0074296A" w:rsidRDefault="00771475" w:rsidP="0074296A">
            <w:pPr>
              <w:rPr>
                <w:rFonts w:ascii="Arial" w:hAnsi="Arial" w:cs="Arial"/>
                <w:sz w:val="24"/>
                <w:szCs w:val="24"/>
              </w:rPr>
            </w:pPr>
            <w:r>
              <w:t>7</w:t>
            </w:r>
          </w:p>
        </w:tc>
        <w:tc>
          <w:tcPr>
            <w:tcW w:w="8478" w:type="dxa"/>
          </w:tcPr>
          <w:p w:rsidR="00292D4B" w:rsidRPr="00292D4B" w:rsidRDefault="006D4038" w:rsidP="0074296A">
            <w:hyperlink r:id="rId16" w:history="1">
              <w:r w:rsidR="00EB7949" w:rsidRPr="00CB0E84">
                <w:rPr>
                  <w:rStyle w:val="Hyperlink"/>
                  <w:rFonts w:ascii="Arial" w:hAnsi="Arial" w:cs="Arial"/>
                  <w:sz w:val="24"/>
                  <w:szCs w:val="24"/>
                </w:rPr>
                <w:t>http://sec4app.com/download/SQL_Injection_Tutorial.pdf</w:t>
              </w:r>
            </w:hyperlink>
          </w:p>
        </w:tc>
      </w:tr>
      <w:tr w:rsidR="0074296A" w:rsidTr="003B438E">
        <w:tc>
          <w:tcPr>
            <w:tcW w:w="1287" w:type="dxa"/>
          </w:tcPr>
          <w:p w:rsidR="0074296A" w:rsidRPr="0074296A" w:rsidRDefault="00771475" w:rsidP="0074296A">
            <w:pPr>
              <w:rPr>
                <w:rFonts w:ascii="Arial" w:hAnsi="Arial" w:cs="Arial"/>
                <w:sz w:val="24"/>
                <w:szCs w:val="24"/>
              </w:rPr>
            </w:pPr>
            <w:r>
              <w:t>8</w:t>
            </w:r>
          </w:p>
        </w:tc>
        <w:tc>
          <w:tcPr>
            <w:tcW w:w="8478" w:type="dxa"/>
          </w:tcPr>
          <w:p w:rsidR="00292D4B" w:rsidRPr="0074296A" w:rsidRDefault="00EB7949" w:rsidP="0074296A">
            <w:pPr>
              <w:rPr>
                <w:rFonts w:ascii="Arial" w:hAnsi="Arial" w:cs="Arial"/>
                <w:sz w:val="24"/>
                <w:szCs w:val="24"/>
              </w:rPr>
            </w:pPr>
            <w:r>
              <w:rPr>
                <w:rFonts w:ascii="Arial" w:hAnsi="Arial" w:cs="Arial"/>
                <w:sz w:val="24"/>
                <w:szCs w:val="24"/>
              </w:rPr>
              <w:t>No Reading Assignment</w:t>
            </w:r>
          </w:p>
        </w:tc>
      </w:tr>
      <w:tr w:rsidR="00D05C24" w:rsidTr="003B438E">
        <w:tc>
          <w:tcPr>
            <w:tcW w:w="1287" w:type="dxa"/>
          </w:tcPr>
          <w:p w:rsidR="00D05C24" w:rsidRPr="0074296A" w:rsidRDefault="00771475" w:rsidP="0074296A">
            <w:pPr>
              <w:rPr>
                <w:rFonts w:ascii="Arial" w:hAnsi="Arial" w:cs="Arial"/>
                <w:sz w:val="24"/>
                <w:szCs w:val="24"/>
              </w:rPr>
            </w:pPr>
            <w:r>
              <w:t>9</w:t>
            </w:r>
          </w:p>
        </w:tc>
        <w:tc>
          <w:tcPr>
            <w:tcW w:w="8478" w:type="dxa"/>
          </w:tcPr>
          <w:p w:rsidR="00292D4B" w:rsidRDefault="006B758C" w:rsidP="0074296A">
            <w:pPr>
              <w:rPr>
                <w:rFonts w:ascii="Arial" w:hAnsi="Arial" w:cs="Arial"/>
                <w:sz w:val="24"/>
                <w:szCs w:val="24"/>
              </w:rPr>
            </w:pPr>
            <w:hyperlink r:id="rId17" w:history="1">
              <w:r w:rsidRPr="00E866C2">
                <w:rPr>
                  <w:rStyle w:val="Hyperlink"/>
                  <w:rFonts w:ascii="Arial" w:hAnsi="Arial" w:cs="Arial"/>
                  <w:sz w:val="24"/>
                  <w:szCs w:val="24"/>
                </w:rPr>
                <w:t>https://www.wireshark.org/docs/wsug_html_chunked/ChapterIntroduction.html#ChIntroWhatIs</w:t>
              </w:r>
            </w:hyperlink>
          </w:p>
          <w:p w:rsidR="004E1B3E" w:rsidRDefault="004E1B3E" w:rsidP="0074296A">
            <w:pPr>
              <w:rPr>
                <w:rFonts w:ascii="Arial" w:hAnsi="Arial" w:cs="Arial"/>
                <w:sz w:val="24"/>
                <w:szCs w:val="24"/>
              </w:rPr>
            </w:pPr>
          </w:p>
          <w:p w:rsidR="006B758C" w:rsidRDefault="006B758C" w:rsidP="0074296A">
            <w:pPr>
              <w:rPr>
                <w:rFonts w:ascii="Arial" w:hAnsi="Arial" w:cs="Arial"/>
                <w:sz w:val="24"/>
                <w:szCs w:val="24"/>
              </w:rPr>
            </w:pPr>
            <w:hyperlink r:id="rId18" w:history="1">
              <w:r w:rsidRPr="00E866C2">
                <w:rPr>
                  <w:rStyle w:val="Hyperlink"/>
                  <w:rFonts w:ascii="Arial" w:hAnsi="Arial" w:cs="Arial"/>
                  <w:sz w:val="24"/>
                  <w:szCs w:val="24"/>
                </w:rPr>
                <w:t>https://www.wireshark.org/docs/wsug_html_chunked/ChapterUsing.html</w:t>
              </w:r>
            </w:hyperlink>
            <w:r>
              <w:rPr>
                <w:rFonts w:ascii="Arial" w:hAnsi="Arial" w:cs="Arial"/>
                <w:sz w:val="24"/>
                <w:szCs w:val="24"/>
              </w:rPr>
              <w:t xml:space="preserve"> (Look through chapter so you are familiar with what you can find)</w:t>
            </w:r>
          </w:p>
          <w:p w:rsidR="006B758C" w:rsidRPr="0074296A" w:rsidRDefault="006B758C" w:rsidP="0074296A">
            <w:pPr>
              <w:rPr>
                <w:rFonts w:ascii="Arial" w:hAnsi="Arial" w:cs="Arial"/>
                <w:sz w:val="24"/>
                <w:szCs w:val="24"/>
              </w:rPr>
            </w:pPr>
          </w:p>
        </w:tc>
      </w:tr>
      <w:tr w:rsidR="00D05C24" w:rsidTr="003B438E">
        <w:tc>
          <w:tcPr>
            <w:tcW w:w="1287" w:type="dxa"/>
          </w:tcPr>
          <w:p w:rsidR="00D05C24" w:rsidRPr="0074296A" w:rsidRDefault="00771475" w:rsidP="0074296A">
            <w:pPr>
              <w:rPr>
                <w:rFonts w:ascii="Arial" w:hAnsi="Arial" w:cs="Arial"/>
                <w:sz w:val="24"/>
                <w:szCs w:val="24"/>
              </w:rPr>
            </w:pPr>
            <w:r>
              <w:t>10</w:t>
            </w:r>
          </w:p>
        </w:tc>
        <w:tc>
          <w:tcPr>
            <w:tcW w:w="8478" w:type="dxa"/>
          </w:tcPr>
          <w:p w:rsidR="003A19DE" w:rsidRPr="0074296A" w:rsidRDefault="007565CD" w:rsidP="003A19DE">
            <w:pPr>
              <w:rPr>
                <w:rFonts w:ascii="Arial" w:hAnsi="Arial" w:cs="Arial"/>
                <w:sz w:val="24"/>
                <w:szCs w:val="24"/>
              </w:rPr>
            </w:pPr>
            <w:r>
              <w:rPr>
                <w:rFonts w:ascii="Arial" w:hAnsi="Arial" w:cs="Arial"/>
                <w:sz w:val="24"/>
                <w:szCs w:val="24"/>
              </w:rPr>
              <w:t>No Reading Assignment</w:t>
            </w:r>
          </w:p>
        </w:tc>
      </w:tr>
      <w:tr w:rsidR="00D05C24" w:rsidTr="003B438E">
        <w:tc>
          <w:tcPr>
            <w:tcW w:w="1287" w:type="dxa"/>
          </w:tcPr>
          <w:p w:rsidR="00D05C24" w:rsidRPr="0074296A" w:rsidRDefault="00771475" w:rsidP="0074296A">
            <w:pPr>
              <w:rPr>
                <w:rFonts w:ascii="Arial" w:hAnsi="Arial" w:cs="Arial"/>
                <w:sz w:val="24"/>
                <w:szCs w:val="24"/>
              </w:rPr>
            </w:pPr>
            <w:r>
              <w:lastRenderedPageBreak/>
              <w:t>11</w:t>
            </w:r>
          </w:p>
        </w:tc>
        <w:tc>
          <w:tcPr>
            <w:tcW w:w="8478" w:type="dxa"/>
          </w:tcPr>
          <w:p w:rsidR="00D673AC" w:rsidRDefault="006D4038" w:rsidP="00102A8D">
            <w:hyperlink r:id="rId19" w:history="1">
              <w:r w:rsidR="00D673AC" w:rsidRPr="0046174E">
                <w:rPr>
                  <w:rStyle w:val="Hyperlink"/>
                </w:rPr>
                <w:t>http://en.wikipedia.org/wiki/IEEE_802.11</w:t>
              </w:r>
            </w:hyperlink>
          </w:p>
          <w:p w:rsidR="00D673AC" w:rsidRPr="0074296A" w:rsidRDefault="006D4038" w:rsidP="00D673AC">
            <w:pPr>
              <w:rPr>
                <w:rFonts w:ascii="Arial" w:hAnsi="Arial" w:cs="Arial"/>
                <w:sz w:val="24"/>
                <w:szCs w:val="24"/>
              </w:rPr>
            </w:pPr>
            <w:hyperlink r:id="rId20" w:history="1">
              <w:r w:rsidR="00D673AC" w:rsidRPr="0046174E">
                <w:rPr>
                  <w:rStyle w:val="Hyperlink"/>
                </w:rPr>
                <w:t>https://technet.microsoft.com/en-us/library/cc757419(v=ws.10).aspx</w:t>
              </w:r>
            </w:hyperlink>
          </w:p>
        </w:tc>
      </w:tr>
      <w:tr w:rsidR="00D05C24" w:rsidTr="003B438E">
        <w:tc>
          <w:tcPr>
            <w:tcW w:w="1287" w:type="dxa"/>
          </w:tcPr>
          <w:p w:rsidR="00D05C24" w:rsidRPr="0074296A" w:rsidRDefault="00771475" w:rsidP="0074296A">
            <w:pPr>
              <w:rPr>
                <w:rFonts w:ascii="Arial" w:hAnsi="Arial" w:cs="Arial"/>
                <w:sz w:val="24"/>
                <w:szCs w:val="24"/>
              </w:rPr>
            </w:pPr>
            <w:r>
              <w:t>12</w:t>
            </w:r>
          </w:p>
        </w:tc>
        <w:tc>
          <w:tcPr>
            <w:tcW w:w="8478" w:type="dxa"/>
          </w:tcPr>
          <w:p w:rsidR="00D673AC" w:rsidRPr="0074296A" w:rsidRDefault="006D4038" w:rsidP="00D673AC">
            <w:pPr>
              <w:rPr>
                <w:rFonts w:ascii="Arial" w:hAnsi="Arial" w:cs="Arial"/>
                <w:sz w:val="24"/>
                <w:szCs w:val="24"/>
              </w:rPr>
            </w:pPr>
            <w:hyperlink r:id="rId21" w:history="1">
              <w:r w:rsidR="00D673AC" w:rsidRPr="0046174E">
                <w:rPr>
                  <w:rStyle w:val="Hyperlink"/>
                </w:rPr>
                <w:t>http://aircrack-ng.org/doku.php?id=getting_started</w:t>
              </w:r>
            </w:hyperlink>
          </w:p>
        </w:tc>
      </w:tr>
      <w:tr w:rsidR="00D05C24" w:rsidTr="003B438E">
        <w:tc>
          <w:tcPr>
            <w:tcW w:w="1287" w:type="dxa"/>
          </w:tcPr>
          <w:p w:rsidR="00D05C24" w:rsidRPr="0074296A" w:rsidRDefault="00771475" w:rsidP="0074296A">
            <w:pPr>
              <w:rPr>
                <w:rFonts w:ascii="Arial" w:hAnsi="Arial" w:cs="Arial"/>
                <w:sz w:val="24"/>
                <w:szCs w:val="24"/>
              </w:rPr>
            </w:pPr>
            <w:r>
              <w:t>13</w:t>
            </w:r>
          </w:p>
        </w:tc>
        <w:tc>
          <w:tcPr>
            <w:tcW w:w="8478" w:type="dxa"/>
          </w:tcPr>
          <w:p w:rsidR="00102A8D" w:rsidRPr="0074296A" w:rsidRDefault="007565CD" w:rsidP="0074296A">
            <w:pPr>
              <w:rPr>
                <w:rFonts w:ascii="Arial" w:hAnsi="Arial" w:cs="Arial"/>
                <w:sz w:val="24"/>
                <w:szCs w:val="24"/>
              </w:rPr>
            </w:pPr>
            <w:r>
              <w:rPr>
                <w:rFonts w:ascii="Arial" w:hAnsi="Arial" w:cs="Arial"/>
                <w:sz w:val="24"/>
                <w:szCs w:val="24"/>
              </w:rPr>
              <w:t>No Reading Assignment</w:t>
            </w:r>
          </w:p>
        </w:tc>
      </w:tr>
    </w:tbl>
    <w:p w:rsidR="0074296A" w:rsidRDefault="0074296A" w:rsidP="0074296A"/>
    <w:p w:rsidR="0074296A" w:rsidRPr="0074296A" w:rsidRDefault="0074296A" w:rsidP="0074296A">
      <w:pPr>
        <w:rPr>
          <w:rFonts w:ascii="Arial" w:hAnsi="Arial" w:cs="Arial"/>
        </w:rPr>
      </w:pPr>
      <w:r w:rsidRPr="0074296A">
        <w:rPr>
          <w:rFonts w:ascii="Arial" w:hAnsi="Arial" w:cs="Arial"/>
        </w:rPr>
        <w:t>The SANS (System Administration, Networking, and Security) Institute articles are available from the SANS Reading Room at the following link:</w:t>
      </w:r>
    </w:p>
    <w:p w:rsidR="0074296A" w:rsidRDefault="006D4038" w:rsidP="0074296A">
      <w:pPr>
        <w:rPr>
          <w:rFonts w:ascii="Arial" w:hAnsi="Arial" w:cs="Arial"/>
        </w:rPr>
      </w:pPr>
      <w:hyperlink r:id="rId22" w:history="1">
        <w:r w:rsidR="0074296A" w:rsidRPr="00E804C0">
          <w:rPr>
            <w:rStyle w:val="Hyperlink"/>
            <w:rFonts w:ascii="Arial" w:hAnsi="Arial" w:cs="Arial"/>
          </w:rPr>
          <w:t>http://www.sans.org/reading_room/</w:t>
        </w:r>
      </w:hyperlink>
    </w:p>
    <w:p w:rsidR="0074296A" w:rsidRDefault="0074296A" w:rsidP="0074296A">
      <w:pPr>
        <w:rPr>
          <w:rFonts w:ascii="Arial" w:hAnsi="Arial" w:cs="Arial"/>
        </w:rPr>
      </w:pPr>
    </w:p>
    <w:p w:rsidR="00A05BCF" w:rsidRDefault="00A05BCF">
      <w:pPr>
        <w:rPr>
          <w:rFonts w:ascii="Arial" w:hAnsi="Arial" w:cs="Arial"/>
        </w:rPr>
      </w:pPr>
      <w:r>
        <w:rPr>
          <w:rFonts w:ascii="Arial" w:hAnsi="Arial" w:cs="Arial"/>
        </w:rPr>
        <w:br w:type="page"/>
      </w:r>
      <w:bookmarkStart w:id="0" w:name="_GoBack"/>
      <w:bookmarkEnd w:id="0"/>
    </w:p>
    <w:p w:rsidR="0074296A" w:rsidRDefault="00A05BCF" w:rsidP="00A05BCF">
      <w:pPr>
        <w:pStyle w:val="Heading2"/>
        <w:rPr>
          <w:color w:val="auto"/>
        </w:rPr>
      </w:pPr>
      <w:r w:rsidRPr="00A05BCF">
        <w:rPr>
          <w:color w:val="auto"/>
        </w:rPr>
        <w:lastRenderedPageBreak/>
        <w:t>Schedule</w:t>
      </w:r>
    </w:p>
    <w:p w:rsidR="00A05BCF" w:rsidRDefault="00A05BCF" w:rsidP="00A05BCF">
      <w:r>
        <w:t>Date</w:t>
      </w:r>
      <w:r>
        <w:tab/>
      </w:r>
      <w:r w:rsidR="00DF23CB">
        <w:tab/>
      </w:r>
      <w:r>
        <w:t>Topic</w:t>
      </w:r>
      <w:r>
        <w:tab/>
      </w:r>
      <w:r>
        <w:tab/>
      </w:r>
      <w:r w:rsidR="00DF23CB">
        <w:tab/>
      </w:r>
      <w:r w:rsidR="000275FE">
        <w:tab/>
      </w:r>
      <w:r w:rsidR="000275FE">
        <w:tab/>
      </w:r>
      <w:r>
        <w:t>Assignments</w:t>
      </w:r>
    </w:p>
    <w:tbl>
      <w:tblPr>
        <w:tblStyle w:val="TableGrid"/>
        <w:tblW w:w="9940" w:type="dxa"/>
        <w:tblLook w:val="04A0" w:firstRow="1" w:lastRow="0" w:firstColumn="1" w:lastColumn="0" w:noHBand="0" w:noVBand="1"/>
      </w:tblPr>
      <w:tblGrid>
        <w:gridCol w:w="1548"/>
        <w:gridCol w:w="3510"/>
        <w:gridCol w:w="4882"/>
      </w:tblGrid>
      <w:tr w:rsidR="000275FE" w:rsidTr="000275FE">
        <w:tc>
          <w:tcPr>
            <w:tcW w:w="1548" w:type="dxa"/>
          </w:tcPr>
          <w:p w:rsidR="000275FE" w:rsidRDefault="00771475" w:rsidP="00771475">
            <w:r>
              <w:t>1</w:t>
            </w:r>
          </w:p>
        </w:tc>
        <w:tc>
          <w:tcPr>
            <w:tcW w:w="3510" w:type="dxa"/>
          </w:tcPr>
          <w:p w:rsidR="00D05C24" w:rsidRDefault="00771475" w:rsidP="00DF23CB">
            <w:r>
              <w:t>Course Introduction, Introduction to the Metasploit Framework including Basics, Intelligence Gathering, Vulnerability Scanning, and Exploitation</w:t>
            </w:r>
          </w:p>
        </w:tc>
        <w:tc>
          <w:tcPr>
            <w:tcW w:w="4882" w:type="dxa"/>
          </w:tcPr>
          <w:p w:rsidR="000275FE" w:rsidRDefault="000275FE" w:rsidP="00A05BCF"/>
        </w:tc>
      </w:tr>
      <w:tr w:rsidR="000275FE" w:rsidTr="000275FE">
        <w:tc>
          <w:tcPr>
            <w:tcW w:w="1548" w:type="dxa"/>
          </w:tcPr>
          <w:p w:rsidR="000275FE" w:rsidRDefault="00771475" w:rsidP="00771475">
            <w:r>
              <w:t>2</w:t>
            </w:r>
          </w:p>
        </w:tc>
        <w:tc>
          <w:tcPr>
            <w:tcW w:w="3510" w:type="dxa"/>
          </w:tcPr>
          <w:p w:rsidR="00D05C24" w:rsidRDefault="00771475" w:rsidP="00A05BCF">
            <w:r>
              <w:t>Meterpreter, Avoiding Detection, Client Side Attacks, and Auxiliary Modules</w:t>
            </w:r>
          </w:p>
        </w:tc>
        <w:tc>
          <w:tcPr>
            <w:tcW w:w="4882" w:type="dxa"/>
          </w:tcPr>
          <w:p w:rsidR="000275FE" w:rsidRDefault="000275FE" w:rsidP="00A05BCF"/>
        </w:tc>
      </w:tr>
      <w:tr w:rsidR="000275FE" w:rsidTr="000275FE">
        <w:tc>
          <w:tcPr>
            <w:tcW w:w="1548" w:type="dxa"/>
          </w:tcPr>
          <w:p w:rsidR="000275FE" w:rsidRDefault="000275FE" w:rsidP="00771475">
            <w:r>
              <w:t>3</w:t>
            </w:r>
          </w:p>
        </w:tc>
        <w:tc>
          <w:tcPr>
            <w:tcW w:w="3510" w:type="dxa"/>
          </w:tcPr>
          <w:p w:rsidR="000275FE" w:rsidRDefault="007C58F0" w:rsidP="007C58F0">
            <w:r>
              <w:t xml:space="preserve">Social Engineering Toolkit, SQL Injection, </w:t>
            </w:r>
            <w:proofErr w:type="spellStart"/>
            <w:r>
              <w:t>Karmetasploit</w:t>
            </w:r>
            <w:proofErr w:type="spellEnd"/>
            <w:r>
              <w:t>, Building Modules in Metasploit, and Creating Exploits</w:t>
            </w:r>
          </w:p>
        </w:tc>
        <w:tc>
          <w:tcPr>
            <w:tcW w:w="4882" w:type="dxa"/>
          </w:tcPr>
          <w:p w:rsidR="000275FE" w:rsidRDefault="000275FE" w:rsidP="000275FE"/>
        </w:tc>
      </w:tr>
      <w:tr w:rsidR="000275FE" w:rsidTr="000275FE">
        <w:tc>
          <w:tcPr>
            <w:tcW w:w="1548" w:type="dxa"/>
          </w:tcPr>
          <w:p w:rsidR="000275FE" w:rsidRDefault="00771475" w:rsidP="00DF23CB">
            <w:r>
              <w:t>4</w:t>
            </w:r>
          </w:p>
        </w:tc>
        <w:tc>
          <w:tcPr>
            <w:tcW w:w="3510" w:type="dxa"/>
          </w:tcPr>
          <w:p w:rsidR="00D05C24" w:rsidRDefault="007C58F0" w:rsidP="00A05BCF">
            <w:r>
              <w:t>Porting Exploits, Scripting, and Simulating Penetration Testing</w:t>
            </w:r>
          </w:p>
          <w:p w:rsidR="006B758C" w:rsidRDefault="006B758C" w:rsidP="00A05BCF">
            <w:r>
              <w:t>Ettercap</w:t>
            </w:r>
          </w:p>
        </w:tc>
        <w:tc>
          <w:tcPr>
            <w:tcW w:w="4882" w:type="dxa"/>
          </w:tcPr>
          <w:p w:rsidR="000275FE" w:rsidRDefault="000275FE" w:rsidP="00A05BCF"/>
        </w:tc>
      </w:tr>
      <w:tr w:rsidR="000275FE" w:rsidTr="000275FE">
        <w:tc>
          <w:tcPr>
            <w:tcW w:w="1548" w:type="dxa"/>
          </w:tcPr>
          <w:p w:rsidR="000275FE" w:rsidRDefault="00771475" w:rsidP="00DF23CB">
            <w:r>
              <w:t>5</w:t>
            </w:r>
          </w:p>
        </w:tc>
        <w:tc>
          <w:tcPr>
            <w:tcW w:w="3510" w:type="dxa"/>
          </w:tcPr>
          <w:p w:rsidR="00D05C24" w:rsidRDefault="007C58F0" w:rsidP="007C58F0">
            <w:r>
              <w:t xml:space="preserve">Test 1, Introduction to OWASP’s </w:t>
            </w:r>
            <w:proofErr w:type="spellStart"/>
            <w:r>
              <w:t>WebGoat</w:t>
            </w:r>
            <w:proofErr w:type="spellEnd"/>
            <w:r>
              <w:t xml:space="preserve"> application</w:t>
            </w:r>
          </w:p>
        </w:tc>
        <w:tc>
          <w:tcPr>
            <w:tcW w:w="4882" w:type="dxa"/>
          </w:tcPr>
          <w:p w:rsidR="000275FE" w:rsidRDefault="000275FE" w:rsidP="000275FE"/>
        </w:tc>
      </w:tr>
      <w:tr w:rsidR="000275FE" w:rsidTr="000275FE">
        <w:tc>
          <w:tcPr>
            <w:tcW w:w="1548" w:type="dxa"/>
          </w:tcPr>
          <w:p w:rsidR="000275FE" w:rsidRDefault="00771475" w:rsidP="00A05BCF">
            <w:r>
              <w:t>6</w:t>
            </w:r>
          </w:p>
        </w:tc>
        <w:tc>
          <w:tcPr>
            <w:tcW w:w="3510" w:type="dxa"/>
          </w:tcPr>
          <w:p w:rsidR="000275FE" w:rsidRDefault="007C58F0" w:rsidP="00A05BCF">
            <w:proofErr w:type="spellStart"/>
            <w:r>
              <w:t>Unvalidated</w:t>
            </w:r>
            <w:proofErr w:type="spellEnd"/>
            <w:r>
              <w:t xml:space="preserve"> Parameters, Broken Access Control, and Broken Authentication</w:t>
            </w:r>
          </w:p>
        </w:tc>
        <w:tc>
          <w:tcPr>
            <w:tcW w:w="4882" w:type="dxa"/>
          </w:tcPr>
          <w:p w:rsidR="000275FE" w:rsidRDefault="004A2983" w:rsidP="00A05BCF">
            <w:r>
              <w:t>Analysis Report: Learnings from Metasploit run against a publically available VM the student chooses</w:t>
            </w:r>
          </w:p>
        </w:tc>
      </w:tr>
      <w:tr w:rsidR="000275FE" w:rsidTr="000275FE">
        <w:tc>
          <w:tcPr>
            <w:tcW w:w="1548" w:type="dxa"/>
          </w:tcPr>
          <w:p w:rsidR="000275FE" w:rsidRDefault="00771475" w:rsidP="00A05BCF">
            <w:r>
              <w:t>7</w:t>
            </w:r>
          </w:p>
        </w:tc>
        <w:tc>
          <w:tcPr>
            <w:tcW w:w="3510" w:type="dxa"/>
          </w:tcPr>
          <w:p w:rsidR="00D05C24" w:rsidRDefault="007C58F0" w:rsidP="00A05BCF">
            <w:r>
              <w:t>Cross Site Scripting, Injection Flaws, Error Handling, and Insecure Storage</w:t>
            </w:r>
          </w:p>
        </w:tc>
        <w:tc>
          <w:tcPr>
            <w:tcW w:w="4882" w:type="dxa"/>
          </w:tcPr>
          <w:p w:rsidR="000275FE" w:rsidRDefault="000275FE" w:rsidP="00A05BCF"/>
        </w:tc>
      </w:tr>
      <w:tr w:rsidR="000275FE" w:rsidTr="000275FE">
        <w:tc>
          <w:tcPr>
            <w:tcW w:w="1548" w:type="dxa"/>
          </w:tcPr>
          <w:p w:rsidR="000275FE" w:rsidRDefault="00771475" w:rsidP="00A05BCF">
            <w:r>
              <w:t>8</w:t>
            </w:r>
          </w:p>
        </w:tc>
        <w:tc>
          <w:tcPr>
            <w:tcW w:w="3510" w:type="dxa"/>
          </w:tcPr>
          <w:p w:rsidR="000275FE" w:rsidRDefault="007C58F0" w:rsidP="00A05BCF">
            <w:r>
              <w:t>Denial of Service, Configuration Management, and Web Services</w:t>
            </w:r>
          </w:p>
        </w:tc>
        <w:tc>
          <w:tcPr>
            <w:tcW w:w="4882" w:type="dxa"/>
          </w:tcPr>
          <w:p w:rsidR="000275FE" w:rsidRDefault="000275FE" w:rsidP="00A05BCF"/>
        </w:tc>
      </w:tr>
      <w:tr w:rsidR="000275FE" w:rsidTr="000275FE">
        <w:tc>
          <w:tcPr>
            <w:tcW w:w="1548" w:type="dxa"/>
          </w:tcPr>
          <w:p w:rsidR="000275FE" w:rsidRDefault="00771475" w:rsidP="00A05BCF">
            <w:r>
              <w:t>9</w:t>
            </w:r>
          </w:p>
        </w:tc>
        <w:tc>
          <w:tcPr>
            <w:tcW w:w="3510" w:type="dxa"/>
          </w:tcPr>
          <w:p w:rsidR="000275FE" w:rsidRDefault="007C58F0" w:rsidP="00A05BCF">
            <w:r>
              <w:t xml:space="preserve">Ajax Security and an Introduction to the </w:t>
            </w:r>
            <w:proofErr w:type="spellStart"/>
            <w:r>
              <w:t>WebGoat</w:t>
            </w:r>
            <w:proofErr w:type="spellEnd"/>
            <w:r>
              <w:t xml:space="preserve"> Challenge</w:t>
            </w:r>
          </w:p>
          <w:p w:rsidR="006B758C" w:rsidRDefault="006B758C" w:rsidP="00A05BCF">
            <w:r>
              <w:t>Wireshark</w:t>
            </w:r>
          </w:p>
        </w:tc>
        <w:tc>
          <w:tcPr>
            <w:tcW w:w="4882" w:type="dxa"/>
          </w:tcPr>
          <w:p w:rsidR="000275FE" w:rsidRDefault="000275FE" w:rsidP="00A05BCF"/>
        </w:tc>
      </w:tr>
      <w:tr w:rsidR="000275FE" w:rsidTr="000275FE">
        <w:tc>
          <w:tcPr>
            <w:tcW w:w="1548" w:type="dxa"/>
          </w:tcPr>
          <w:p w:rsidR="000275FE" w:rsidRDefault="00771475" w:rsidP="00A05BCF">
            <w:r>
              <w:t>10</w:t>
            </w:r>
          </w:p>
        </w:tc>
        <w:tc>
          <w:tcPr>
            <w:tcW w:w="3510" w:type="dxa"/>
          </w:tcPr>
          <w:p w:rsidR="000275FE" w:rsidRDefault="007C58F0" w:rsidP="00A05BCF">
            <w:r>
              <w:t>Test 2, Introduction to Wireless Security</w:t>
            </w:r>
          </w:p>
        </w:tc>
        <w:tc>
          <w:tcPr>
            <w:tcW w:w="4882" w:type="dxa"/>
          </w:tcPr>
          <w:p w:rsidR="000275FE" w:rsidRDefault="000275FE" w:rsidP="00A05BCF"/>
        </w:tc>
      </w:tr>
      <w:tr w:rsidR="000275FE" w:rsidTr="000275FE">
        <w:tc>
          <w:tcPr>
            <w:tcW w:w="1548" w:type="dxa"/>
          </w:tcPr>
          <w:p w:rsidR="000275FE" w:rsidRDefault="00771475" w:rsidP="00A05BCF">
            <w:r>
              <w:t>11</w:t>
            </w:r>
          </w:p>
        </w:tc>
        <w:tc>
          <w:tcPr>
            <w:tcW w:w="3510" w:type="dxa"/>
          </w:tcPr>
          <w:p w:rsidR="00D05C24" w:rsidRDefault="004A2983" w:rsidP="00A05BCF">
            <w:r>
              <w:t>Wireless Recon, WEP, and WPA2</w:t>
            </w:r>
          </w:p>
        </w:tc>
        <w:tc>
          <w:tcPr>
            <w:tcW w:w="4882" w:type="dxa"/>
          </w:tcPr>
          <w:p w:rsidR="000275FE" w:rsidRDefault="007C58F0" w:rsidP="00A05BCF">
            <w:r>
              <w:t xml:space="preserve">Analysis Report: Learnings from the </w:t>
            </w:r>
            <w:proofErr w:type="spellStart"/>
            <w:r>
              <w:t>WebGoat</w:t>
            </w:r>
            <w:proofErr w:type="spellEnd"/>
            <w:r>
              <w:t xml:space="preserve"> Challenge</w:t>
            </w:r>
          </w:p>
        </w:tc>
      </w:tr>
      <w:tr w:rsidR="000275FE" w:rsidTr="000275FE">
        <w:tc>
          <w:tcPr>
            <w:tcW w:w="1548" w:type="dxa"/>
          </w:tcPr>
          <w:p w:rsidR="000275FE" w:rsidRDefault="00771475" w:rsidP="00A05BCF">
            <w:r>
              <w:t>12</w:t>
            </w:r>
          </w:p>
        </w:tc>
        <w:tc>
          <w:tcPr>
            <w:tcW w:w="3510" w:type="dxa"/>
          </w:tcPr>
          <w:p w:rsidR="000275FE" w:rsidRDefault="004A2983" w:rsidP="00A05BCF">
            <w:r>
              <w:t xml:space="preserve">WPA2 Enterprise, Wireless beyond </w:t>
            </w:r>
            <w:proofErr w:type="spellStart"/>
            <w:r>
              <w:t>WiFi</w:t>
            </w:r>
            <w:proofErr w:type="spellEnd"/>
          </w:p>
        </w:tc>
        <w:tc>
          <w:tcPr>
            <w:tcW w:w="4882" w:type="dxa"/>
          </w:tcPr>
          <w:p w:rsidR="000275FE" w:rsidRDefault="000275FE" w:rsidP="00A05BCF"/>
        </w:tc>
      </w:tr>
      <w:tr w:rsidR="000275FE" w:rsidTr="000275FE">
        <w:tc>
          <w:tcPr>
            <w:tcW w:w="1548" w:type="dxa"/>
          </w:tcPr>
          <w:p w:rsidR="000275FE" w:rsidRDefault="00771475" w:rsidP="00A05BCF">
            <w:r>
              <w:t>13</w:t>
            </w:r>
          </w:p>
        </w:tc>
        <w:tc>
          <w:tcPr>
            <w:tcW w:w="3510" w:type="dxa"/>
          </w:tcPr>
          <w:p w:rsidR="000275FE" w:rsidRDefault="004A2983" w:rsidP="00A05BCF">
            <w:r>
              <w:t>Cain and Able</w:t>
            </w:r>
          </w:p>
        </w:tc>
        <w:tc>
          <w:tcPr>
            <w:tcW w:w="4882" w:type="dxa"/>
          </w:tcPr>
          <w:p w:rsidR="000275FE" w:rsidRDefault="000275FE" w:rsidP="00A05BCF"/>
        </w:tc>
      </w:tr>
      <w:tr w:rsidR="000275FE" w:rsidTr="000275FE">
        <w:tc>
          <w:tcPr>
            <w:tcW w:w="1548" w:type="dxa"/>
          </w:tcPr>
          <w:p w:rsidR="000275FE" w:rsidRDefault="00771475" w:rsidP="00A05BCF">
            <w:r>
              <w:t>14</w:t>
            </w:r>
          </w:p>
        </w:tc>
        <w:tc>
          <w:tcPr>
            <w:tcW w:w="3510" w:type="dxa"/>
          </w:tcPr>
          <w:p w:rsidR="000275FE" w:rsidRDefault="007C58F0" w:rsidP="00A05BCF">
            <w:r>
              <w:t>Test 3</w:t>
            </w:r>
          </w:p>
        </w:tc>
        <w:tc>
          <w:tcPr>
            <w:tcW w:w="4882" w:type="dxa"/>
          </w:tcPr>
          <w:p w:rsidR="000275FE" w:rsidRDefault="000275FE" w:rsidP="00A05BCF"/>
        </w:tc>
      </w:tr>
    </w:tbl>
    <w:p w:rsidR="00A05BCF" w:rsidRPr="00A05BCF" w:rsidRDefault="00A05BCF" w:rsidP="00102A8D"/>
    <w:sectPr w:rsidR="00A05BCF" w:rsidRPr="00A05BCF" w:rsidSect="00235B8E">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38" w:rsidRDefault="006D4038" w:rsidP="0074296A">
      <w:pPr>
        <w:spacing w:after="0" w:line="240" w:lineRule="auto"/>
      </w:pPr>
      <w:r>
        <w:separator/>
      </w:r>
    </w:p>
  </w:endnote>
  <w:endnote w:type="continuationSeparator" w:id="0">
    <w:p w:rsidR="006D4038" w:rsidRDefault="006D4038" w:rsidP="0074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38" w:rsidRDefault="006D4038" w:rsidP="0074296A">
      <w:pPr>
        <w:spacing w:after="0" w:line="240" w:lineRule="auto"/>
      </w:pPr>
      <w:r>
        <w:separator/>
      </w:r>
    </w:p>
  </w:footnote>
  <w:footnote w:type="continuationSeparator" w:id="0">
    <w:p w:rsidR="006D4038" w:rsidRDefault="006D4038" w:rsidP="00742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6A" w:rsidRDefault="0074296A" w:rsidP="0074296A">
    <w:pPr>
      <w:pStyle w:val="Heading1"/>
      <w:jc w:val="center"/>
    </w:pPr>
    <w:r>
      <w:t>MIS 521</w:t>
    </w:r>
    <w:r w:rsidR="00295EEB">
      <w:t>2</w:t>
    </w:r>
    <w:r>
      <w:t xml:space="preserve"> – </w:t>
    </w:r>
    <w:r w:rsidR="00295EEB">
      <w:t>Advanced Penetration Testing</w:t>
    </w:r>
    <w:r>
      <w:t xml:space="preserve"> – Syllabus</w:t>
    </w:r>
  </w:p>
  <w:p w:rsidR="0074296A" w:rsidRDefault="0074296A">
    <w:pPr>
      <w:pStyle w:val="Header"/>
    </w:pPr>
  </w:p>
  <w:p w:rsidR="0074296A" w:rsidRDefault="00742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380D"/>
    <w:multiLevelType w:val="hybridMultilevel"/>
    <w:tmpl w:val="9F7C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B3A6A"/>
    <w:multiLevelType w:val="hybridMultilevel"/>
    <w:tmpl w:val="C8C8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8E"/>
    <w:rsid w:val="00012022"/>
    <w:rsid w:val="000275FE"/>
    <w:rsid w:val="00102A8D"/>
    <w:rsid w:val="001E77BE"/>
    <w:rsid w:val="00235B8E"/>
    <w:rsid w:val="002673FA"/>
    <w:rsid w:val="00292D4B"/>
    <w:rsid w:val="00295EEB"/>
    <w:rsid w:val="003505A5"/>
    <w:rsid w:val="003A19DE"/>
    <w:rsid w:val="003B438E"/>
    <w:rsid w:val="00442317"/>
    <w:rsid w:val="004A2983"/>
    <w:rsid w:val="004B3792"/>
    <w:rsid w:val="004E1B3E"/>
    <w:rsid w:val="005935AF"/>
    <w:rsid w:val="006B758C"/>
    <w:rsid w:val="006D4038"/>
    <w:rsid w:val="00725DE9"/>
    <w:rsid w:val="0074296A"/>
    <w:rsid w:val="00755A52"/>
    <w:rsid w:val="007565CD"/>
    <w:rsid w:val="00771475"/>
    <w:rsid w:val="007C58F0"/>
    <w:rsid w:val="007E41BA"/>
    <w:rsid w:val="008507CD"/>
    <w:rsid w:val="00854B40"/>
    <w:rsid w:val="00922143"/>
    <w:rsid w:val="009633CF"/>
    <w:rsid w:val="00A050AB"/>
    <w:rsid w:val="00A05BCF"/>
    <w:rsid w:val="00D05C24"/>
    <w:rsid w:val="00D36CF2"/>
    <w:rsid w:val="00D673AC"/>
    <w:rsid w:val="00DB4EEA"/>
    <w:rsid w:val="00DE0E48"/>
    <w:rsid w:val="00DE326C"/>
    <w:rsid w:val="00DF23CB"/>
    <w:rsid w:val="00E57EF4"/>
    <w:rsid w:val="00E667EE"/>
    <w:rsid w:val="00E81B50"/>
    <w:rsid w:val="00EB7949"/>
    <w:rsid w:val="00ED347D"/>
    <w:rsid w:val="00EF1E37"/>
    <w:rsid w:val="00F4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8F0AF-C99C-4579-B27A-578B4FF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5B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5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5B8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35B8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3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96A"/>
  </w:style>
  <w:style w:type="paragraph" w:styleId="Footer">
    <w:name w:val="footer"/>
    <w:basedOn w:val="Normal"/>
    <w:link w:val="FooterChar"/>
    <w:uiPriority w:val="99"/>
    <w:unhideWhenUsed/>
    <w:rsid w:val="00742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96A"/>
  </w:style>
  <w:style w:type="paragraph" w:styleId="BalloonText">
    <w:name w:val="Balloon Text"/>
    <w:basedOn w:val="Normal"/>
    <w:link w:val="BalloonTextChar"/>
    <w:uiPriority w:val="99"/>
    <w:semiHidden/>
    <w:unhideWhenUsed/>
    <w:rsid w:val="00742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6A"/>
    <w:rPr>
      <w:rFonts w:ascii="Tahoma" w:hAnsi="Tahoma" w:cs="Tahoma"/>
      <w:sz w:val="16"/>
      <w:szCs w:val="16"/>
    </w:rPr>
  </w:style>
  <w:style w:type="character" w:styleId="Hyperlink">
    <w:name w:val="Hyperlink"/>
    <w:basedOn w:val="DefaultParagraphFont"/>
    <w:uiPriority w:val="99"/>
    <w:unhideWhenUsed/>
    <w:rsid w:val="0074296A"/>
    <w:rPr>
      <w:color w:val="0000FF" w:themeColor="hyperlink"/>
      <w:u w:val="single"/>
    </w:rPr>
  </w:style>
  <w:style w:type="paragraph" w:styleId="ListParagraph">
    <w:name w:val="List Paragraph"/>
    <w:basedOn w:val="Normal"/>
    <w:uiPriority w:val="34"/>
    <w:qFormat/>
    <w:rsid w:val="005935AF"/>
    <w:pPr>
      <w:ind w:left="720"/>
      <w:contextualSpacing/>
    </w:pPr>
  </w:style>
  <w:style w:type="character" w:customStyle="1" w:styleId="Heading2Char">
    <w:name w:val="Heading 2 Char"/>
    <w:basedOn w:val="DefaultParagraphFont"/>
    <w:link w:val="Heading2"/>
    <w:uiPriority w:val="9"/>
    <w:rsid w:val="00A05B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ensive-security.com/metasploit-unleashed/Main_Page" TargetMode="External"/><Relationship Id="rId13" Type="http://schemas.openxmlformats.org/officeDocument/2006/relationships/hyperlink" Target="http://cdn.ttgtmedia.com/rms/pdf/SearchSecurity.in_Burp_%20Suite_tutorial_Part_03.pdf" TargetMode="External"/><Relationship Id="rId18" Type="http://schemas.openxmlformats.org/officeDocument/2006/relationships/hyperlink" Target="https://www.wireshark.org/docs/wsug_html_chunked/ChapterUsing.html" TargetMode="External"/><Relationship Id="rId3" Type="http://schemas.openxmlformats.org/officeDocument/2006/relationships/styles" Target="styles.xml"/><Relationship Id="rId21" Type="http://schemas.openxmlformats.org/officeDocument/2006/relationships/hyperlink" Target="http://aircrack-ng.org/doku.php?id=getting_started" TargetMode="External"/><Relationship Id="rId7" Type="http://schemas.openxmlformats.org/officeDocument/2006/relationships/endnotes" Target="endnotes.xml"/><Relationship Id="rId12" Type="http://schemas.openxmlformats.org/officeDocument/2006/relationships/hyperlink" Target="http://cdn.ttgtmedia.com/rms/pdf/SearchSecurity.in_Burp_%20Suite_tutorial_Part_02.pdf" TargetMode="External"/><Relationship Id="rId17" Type="http://schemas.openxmlformats.org/officeDocument/2006/relationships/hyperlink" Target="https://www.wireshark.org/docs/wsug_html_chunked/ChapterIntroduction.html#ChIntroWhat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4app.com/download/SQL_Injection_Tutorial.pdf" TargetMode="External"/><Relationship Id="rId20" Type="http://schemas.openxmlformats.org/officeDocument/2006/relationships/hyperlink" Target="https://technet.microsoft.com/en-us/library/cc757419(v=ws.10).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n.ttgtmedia.com/rms/pdf/SearchSecurity.in_Burp_%20Suite_tutorial_Part_0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ns.org/reading-room/whitepapers/application/web-application-security-for-managers-27" TargetMode="External"/><Relationship Id="rId23" Type="http://schemas.openxmlformats.org/officeDocument/2006/relationships/header" Target="header1.xml"/><Relationship Id="rId10" Type="http://schemas.openxmlformats.org/officeDocument/2006/relationships/hyperlink" Target="http://www.offensive-security.com/metasploit-unleashed/Main_Page" TargetMode="External"/><Relationship Id="rId19" Type="http://schemas.openxmlformats.org/officeDocument/2006/relationships/hyperlink" Target="http://en.wikipedia.org/wiki/IEEE_802.11" TargetMode="External"/><Relationship Id="rId4" Type="http://schemas.openxmlformats.org/officeDocument/2006/relationships/settings" Target="settings.xml"/><Relationship Id="rId9" Type="http://schemas.openxmlformats.org/officeDocument/2006/relationships/hyperlink" Target="http://www.offensive-security.com/metasploit-unleashed/Main_Page" TargetMode="External"/><Relationship Id="rId14" Type="http://schemas.openxmlformats.org/officeDocument/2006/relationships/hyperlink" Target="http://www.sans.org/reading-room/whitepapers/application/web-application-injection-vulnerabilities-web-app-039-s-security-nemesis-34247" TargetMode="External"/><Relationship Id="rId22" Type="http://schemas.openxmlformats.org/officeDocument/2006/relationships/hyperlink" Target="http://www.sans.org/reading_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3CB6-CC45-4F0C-9B09-8FB3D3A4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Wade Mackey</cp:lastModifiedBy>
  <cp:revision>2</cp:revision>
  <cp:lastPrinted>2015-05-07T04:11:00Z</cp:lastPrinted>
  <dcterms:created xsi:type="dcterms:W3CDTF">2016-01-11T01:09:00Z</dcterms:created>
  <dcterms:modified xsi:type="dcterms:W3CDTF">2016-01-11T01:09:00Z</dcterms:modified>
</cp:coreProperties>
</file>