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59A87" w14:textId="63AF1E51" w:rsidR="007A4011" w:rsidRPr="00FF18DA" w:rsidRDefault="000C2813" w:rsidP="001377FD">
      <w:pPr>
        <w:jc w:val="center"/>
        <w:rPr>
          <w:rFonts w:ascii="Times New Roman" w:hAnsi="Times New Roman" w:cs="Times New Roman"/>
        </w:rPr>
      </w:pPr>
      <w:r w:rsidRPr="00FF18DA">
        <w:rPr>
          <w:rFonts w:ascii="Times New Roman" w:hAnsi="Times New Roman" w:cs="Times New Roman"/>
        </w:rPr>
        <w:t>Flash Research Assignment: Data Centers and Networking</w:t>
      </w:r>
    </w:p>
    <w:p w14:paraId="0A56059D" w14:textId="07C8CA75" w:rsidR="0022125B" w:rsidRPr="00FF18DA" w:rsidRDefault="005D1A0B" w:rsidP="007A4011">
      <w:pPr>
        <w:spacing w:line="480" w:lineRule="auto"/>
        <w:ind w:firstLine="720"/>
        <w:rPr>
          <w:rFonts w:ascii="Times New Roman" w:hAnsi="Times New Roman" w:cs="Times New Roman"/>
        </w:rPr>
      </w:pPr>
      <w:r w:rsidRPr="00FF18DA">
        <w:rPr>
          <w:rFonts w:ascii="Times New Roman" w:hAnsi="Times New Roman" w:cs="Times New Roman"/>
        </w:rPr>
        <w:t xml:space="preserve">Our </w:t>
      </w:r>
      <w:r w:rsidR="00A13CC5" w:rsidRPr="00FF18DA">
        <w:rPr>
          <w:rFonts w:ascii="Times New Roman" w:hAnsi="Times New Roman" w:cs="Times New Roman"/>
        </w:rPr>
        <w:t xml:space="preserve">manufacturing company can </w:t>
      </w:r>
      <w:r w:rsidR="005B535D">
        <w:rPr>
          <w:rFonts w:ascii="Times New Roman" w:hAnsi="Times New Roman" w:cs="Times New Roman"/>
        </w:rPr>
        <w:t>have a net benefit of</w:t>
      </w:r>
      <w:r w:rsidR="00A13CC5" w:rsidRPr="00FF18DA">
        <w:rPr>
          <w:rFonts w:ascii="Times New Roman" w:hAnsi="Times New Roman" w:cs="Times New Roman"/>
        </w:rPr>
        <w:t xml:space="preserve"> $13,229,056 over a period of three years by upgrading to a Tier III data center. </w:t>
      </w:r>
      <w:r w:rsidR="00F60F58">
        <w:rPr>
          <w:rFonts w:ascii="Times New Roman" w:hAnsi="Times New Roman" w:cs="Times New Roman"/>
        </w:rPr>
        <w:t xml:space="preserve">A data center </w:t>
      </w:r>
      <w:r w:rsidR="0069645A">
        <w:rPr>
          <w:rFonts w:ascii="Times New Roman" w:hAnsi="Times New Roman" w:cs="Times New Roman"/>
        </w:rPr>
        <w:t xml:space="preserve">is a </w:t>
      </w:r>
      <w:r w:rsidR="0069645A" w:rsidRPr="0069645A">
        <w:rPr>
          <w:rFonts w:ascii="Times New Roman" w:hAnsi="Times New Roman" w:cs="Times New Roman"/>
        </w:rPr>
        <w:t>group of networked compute</w:t>
      </w:r>
      <w:r w:rsidR="0069645A">
        <w:rPr>
          <w:rFonts w:ascii="Times New Roman" w:hAnsi="Times New Roman" w:cs="Times New Roman"/>
        </w:rPr>
        <w:t xml:space="preserve">rs that </w:t>
      </w:r>
      <w:r w:rsidR="00F60F58">
        <w:rPr>
          <w:rFonts w:ascii="Times New Roman" w:hAnsi="Times New Roman" w:cs="Times New Roman"/>
        </w:rPr>
        <w:t xml:space="preserve">allows </w:t>
      </w:r>
      <w:r w:rsidR="0069645A">
        <w:rPr>
          <w:rFonts w:ascii="Times New Roman" w:hAnsi="Times New Roman" w:cs="Times New Roman"/>
        </w:rPr>
        <w:t xml:space="preserve">our company to process, store, and organize data. </w:t>
      </w:r>
      <w:r w:rsidR="00A13CC5" w:rsidRPr="00FF18DA">
        <w:rPr>
          <w:rFonts w:ascii="Times New Roman" w:hAnsi="Times New Roman" w:cs="Times New Roman"/>
        </w:rPr>
        <w:t xml:space="preserve">Currently, our Tier I data center doesn’t sufficiently operate </w:t>
      </w:r>
      <w:r w:rsidR="002F12C8" w:rsidRPr="00FF18DA">
        <w:rPr>
          <w:rFonts w:ascii="Times New Roman" w:hAnsi="Times New Roman" w:cs="Times New Roman"/>
        </w:rPr>
        <w:t>since we have experienced</w:t>
      </w:r>
      <w:r w:rsidR="00A34A50" w:rsidRPr="00FF18DA">
        <w:rPr>
          <w:rFonts w:ascii="Times New Roman" w:hAnsi="Times New Roman" w:cs="Times New Roman"/>
        </w:rPr>
        <w:t xml:space="preserve"> 10</w:t>
      </w:r>
      <w:r w:rsidR="00A13CC5" w:rsidRPr="00FF18DA">
        <w:rPr>
          <w:rFonts w:ascii="Times New Roman" w:hAnsi="Times New Roman" w:cs="Times New Roman"/>
        </w:rPr>
        <w:t xml:space="preserve"> outages to our ERP system </w:t>
      </w:r>
      <w:r w:rsidR="008E5670" w:rsidRPr="00FF18DA">
        <w:rPr>
          <w:rFonts w:ascii="Times New Roman" w:hAnsi="Times New Roman" w:cs="Times New Roman"/>
        </w:rPr>
        <w:t xml:space="preserve">in the past year </w:t>
      </w:r>
      <w:r w:rsidR="007A4011" w:rsidRPr="00FF18DA">
        <w:rPr>
          <w:rFonts w:ascii="Times New Roman" w:hAnsi="Times New Roman" w:cs="Times New Roman"/>
        </w:rPr>
        <w:t>which</w:t>
      </w:r>
      <w:r w:rsidR="00A13CC5" w:rsidRPr="00FF18DA">
        <w:rPr>
          <w:rFonts w:ascii="Times New Roman" w:hAnsi="Times New Roman" w:cs="Times New Roman"/>
        </w:rPr>
        <w:t xml:space="preserve"> </w:t>
      </w:r>
      <w:r w:rsidR="006522DA" w:rsidRPr="00FF18DA">
        <w:rPr>
          <w:rFonts w:ascii="Times New Roman" w:hAnsi="Times New Roman" w:cs="Times New Roman"/>
        </w:rPr>
        <w:t xml:space="preserve">has </w:t>
      </w:r>
      <w:r w:rsidR="00A13CC5" w:rsidRPr="00FF18DA">
        <w:rPr>
          <w:rFonts w:ascii="Times New Roman" w:hAnsi="Times New Roman" w:cs="Times New Roman"/>
        </w:rPr>
        <w:t>cause</w:t>
      </w:r>
      <w:r w:rsidR="006522DA" w:rsidRPr="00FF18DA">
        <w:rPr>
          <w:rFonts w:ascii="Times New Roman" w:hAnsi="Times New Roman" w:cs="Times New Roman"/>
        </w:rPr>
        <w:t>d</w:t>
      </w:r>
      <w:r w:rsidR="00A13CC5" w:rsidRPr="00FF18DA">
        <w:rPr>
          <w:rFonts w:ascii="Times New Roman" w:hAnsi="Times New Roman" w:cs="Times New Roman"/>
        </w:rPr>
        <w:t xml:space="preserve"> </w:t>
      </w:r>
      <w:r w:rsidR="002F12C8" w:rsidRPr="00FF18DA">
        <w:rPr>
          <w:rFonts w:ascii="Times New Roman" w:hAnsi="Times New Roman" w:cs="Times New Roman"/>
        </w:rPr>
        <w:t>an</w:t>
      </w:r>
      <w:r w:rsidR="00485E5A" w:rsidRPr="00FF18DA">
        <w:rPr>
          <w:rFonts w:ascii="Times New Roman" w:hAnsi="Times New Roman" w:cs="Times New Roman"/>
        </w:rPr>
        <w:t xml:space="preserve"> average of</w:t>
      </w:r>
      <w:r w:rsidR="00A34A50" w:rsidRPr="00FF18DA">
        <w:rPr>
          <w:rFonts w:ascii="Times New Roman" w:hAnsi="Times New Roman" w:cs="Times New Roman"/>
        </w:rPr>
        <w:t xml:space="preserve"> </w:t>
      </w:r>
      <w:r w:rsidR="00365819" w:rsidRPr="00FF18DA">
        <w:rPr>
          <w:rFonts w:ascii="Times New Roman" w:hAnsi="Times New Roman" w:cs="Times New Roman"/>
        </w:rPr>
        <w:t xml:space="preserve">$25,670,304 </w:t>
      </w:r>
      <w:r w:rsidR="007A4011" w:rsidRPr="00FF18DA">
        <w:rPr>
          <w:rFonts w:ascii="Times New Roman" w:hAnsi="Times New Roman" w:cs="Times New Roman"/>
        </w:rPr>
        <w:t>in</w:t>
      </w:r>
      <w:r w:rsidR="00365819" w:rsidRPr="00FF18DA">
        <w:rPr>
          <w:rFonts w:ascii="Times New Roman" w:hAnsi="Times New Roman" w:cs="Times New Roman"/>
        </w:rPr>
        <w:t xml:space="preserve"> losses.</w:t>
      </w:r>
      <w:r w:rsidR="007A4011" w:rsidRPr="00FF18DA">
        <w:rPr>
          <w:rFonts w:ascii="Times New Roman" w:hAnsi="Times New Roman" w:cs="Times New Roman"/>
        </w:rPr>
        <w:t xml:space="preserve"> </w:t>
      </w:r>
      <w:r w:rsidR="0022125B" w:rsidRPr="00FF18DA">
        <w:rPr>
          <w:rFonts w:ascii="Times New Roman" w:hAnsi="Times New Roman" w:cs="Times New Roman"/>
        </w:rPr>
        <w:t>During these</w:t>
      </w:r>
      <w:r w:rsidR="007A4011" w:rsidRPr="00FF18DA">
        <w:rPr>
          <w:rFonts w:ascii="Times New Roman" w:hAnsi="Times New Roman" w:cs="Times New Roman"/>
        </w:rPr>
        <w:t xml:space="preserve"> outages</w:t>
      </w:r>
      <w:r w:rsidR="0022125B" w:rsidRPr="00FF18DA">
        <w:rPr>
          <w:rFonts w:ascii="Times New Roman" w:hAnsi="Times New Roman" w:cs="Times New Roman"/>
        </w:rPr>
        <w:t>, our company is un</w:t>
      </w:r>
      <w:r w:rsidR="007A4011" w:rsidRPr="00FF18DA">
        <w:rPr>
          <w:rFonts w:ascii="Times New Roman" w:hAnsi="Times New Roman" w:cs="Times New Roman"/>
        </w:rPr>
        <w:t xml:space="preserve">able to process orders, make orders, </w:t>
      </w:r>
      <w:r w:rsidR="0022125B" w:rsidRPr="00FF18DA">
        <w:rPr>
          <w:rFonts w:ascii="Times New Roman" w:hAnsi="Times New Roman" w:cs="Times New Roman"/>
        </w:rPr>
        <w:t>and</w:t>
      </w:r>
      <w:r w:rsidR="007A4011" w:rsidRPr="00FF18DA">
        <w:rPr>
          <w:rFonts w:ascii="Times New Roman" w:hAnsi="Times New Roman" w:cs="Times New Roman"/>
        </w:rPr>
        <w:t xml:space="preserve"> ship product. </w:t>
      </w:r>
      <w:r w:rsidR="0022125B" w:rsidRPr="00FF18DA">
        <w:rPr>
          <w:rFonts w:ascii="Times New Roman" w:hAnsi="Times New Roman" w:cs="Times New Roman"/>
        </w:rPr>
        <w:t>Outages have major operational impact</w:t>
      </w:r>
      <w:r w:rsidR="005B535D">
        <w:rPr>
          <w:rFonts w:ascii="Times New Roman" w:hAnsi="Times New Roman" w:cs="Times New Roman"/>
        </w:rPr>
        <w:t xml:space="preserve"> in</w:t>
      </w:r>
      <w:r w:rsidR="0022125B" w:rsidRPr="00FF18DA">
        <w:rPr>
          <w:rFonts w:ascii="Times New Roman" w:hAnsi="Times New Roman" w:cs="Times New Roman"/>
        </w:rPr>
        <w:t xml:space="preserve"> our company </w:t>
      </w:r>
      <w:r w:rsidR="003A12D0">
        <w:rPr>
          <w:rFonts w:ascii="Times New Roman" w:hAnsi="Times New Roman" w:cs="Times New Roman"/>
        </w:rPr>
        <w:t>and causes substantial amount of</w:t>
      </w:r>
      <w:r w:rsidR="0022125B" w:rsidRPr="00FF18DA">
        <w:rPr>
          <w:rFonts w:ascii="Times New Roman" w:hAnsi="Times New Roman" w:cs="Times New Roman"/>
        </w:rPr>
        <w:t xml:space="preserve"> financial loss. It is crucial that we upgrade to a Tier III data center to reduce these operational </w:t>
      </w:r>
      <w:r w:rsidR="00C17647" w:rsidRPr="00FF18DA">
        <w:rPr>
          <w:rFonts w:ascii="Times New Roman" w:hAnsi="Times New Roman" w:cs="Times New Roman"/>
        </w:rPr>
        <w:t>issues</w:t>
      </w:r>
      <w:r w:rsidR="0022125B" w:rsidRPr="00FF18DA">
        <w:rPr>
          <w:rFonts w:ascii="Times New Roman" w:hAnsi="Times New Roman" w:cs="Times New Roman"/>
        </w:rPr>
        <w:t xml:space="preserve"> and reduce financial loss.</w:t>
      </w:r>
    </w:p>
    <w:p w14:paraId="27F315D1" w14:textId="740A540E" w:rsidR="00C17647" w:rsidRPr="00FF18DA" w:rsidRDefault="00F21D5D" w:rsidP="007A4011">
      <w:pPr>
        <w:spacing w:line="480" w:lineRule="auto"/>
        <w:ind w:firstLine="720"/>
        <w:rPr>
          <w:rFonts w:ascii="Times New Roman" w:hAnsi="Times New Roman" w:cs="Times New Roman"/>
        </w:rPr>
      </w:pPr>
      <w:r w:rsidRPr="00FF18DA">
        <w:rPr>
          <w:rFonts w:ascii="Times New Roman" w:hAnsi="Times New Roman" w:cs="Times New Roman"/>
        </w:rPr>
        <w:t xml:space="preserve">A </w:t>
      </w:r>
      <w:r w:rsidR="0069412D" w:rsidRPr="00FF18DA">
        <w:rPr>
          <w:rFonts w:ascii="Times New Roman" w:hAnsi="Times New Roman" w:cs="Times New Roman"/>
        </w:rPr>
        <w:t xml:space="preserve">Tier III data center </w:t>
      </w:r>
      <w:r w:rsidR="005B535D">
        <w:rPr>
          <w:rFonts w:ascii="Times New Roman" w:hAnsi="Times New Roman" w:cs="Times New Roman"/>
        </w:rPr>
        <w:t>will be</w:t>
      </w:r>
      <w:r w:rsidR="0069412D" w:rsidRPr="00FF18DA">
        <w:rPr>
          <w:rFonts w:ascii="Times New Roman" w:hAnsi="Times New Roman" w:cs="Times New Roman"/>
        </w:rPr>
        <w:t xml:space="preserve"> a </w:t>
      </w:r>
      <w:r w:rsidRPr="00FF18DA">
        <w:rPr>
          <w:rFonts w:ascii="Times New Roman" w:hAnsi="Times New Roman" w:cs="Times New Roman"/>
        </w:rPr>
        <w:t xml:space="preserve">vast upgrade from the Tier I data center that we </w:t>
      </w:r>
      <w:r w:rsidR="00B845E7" w:rsidRPr="00FF18DA">
        <w:rPr>
          <w:rFonts w:ascii="Times New Roman" w:hAnsi="Times New Roman" w:cs="Times New Roman"/>
        </w:rPr>
        <w:t>are currently running</w:t>
      </w:r>
      <w:r w:rsidRPr="00FF18DA">
        <w:rPr>
          <w:rFonts w:ascii="Times New Roman" w:hAnsi="Times New Roman" w:cs="Times New Roman"/>
        </w:rPr>
        <w:t>. A Tier II</w:t>
      </w:r>
      <w:r w:rsidR="007404E2" w:rsidRPr="00FF18DA">
        <w:rPr>
          <w:rFonts w:ascii="Times New Roman" w:hAnsi="Times New Roman" w:cs="Times New Roman"/>
        </w:rPr>
        <w:t>I</w:t>
      </w:r>
      <w:r w:rsidRPr="00FF18DA">
        <w:rPr>
          <w:rFonts w:ascii="Times New Roman" w:hAnsi="Times New Roman" w:cs="Times New Roman"/>
        </w:rPr>
        <w:t xml:space="preserve"> data center </w:t>
      </w:r>
      <w:r w:rsidR="00D85D44" w:rsidRPr="00FF18DA">
        <w:rPr>
          <w:rFonts w:ascii="Times New Roman" w:hAnsi="Times New Roman" w:cs="Times New Roman"/>
        </w:rPr>
        <w:t>can</w:t>
      </w:r>
      <w:r w:rsidRPr="00FF18DA">
        <w:rPr>
          <w:rFonts w:ascii="Times New Roman" w:hAnsi="Times New Roman" w:cs="Times New Roman"/>
        </w:rPr>
        <w:t xml:space="preserve"> provide </w:t>
      </w:r>
      <w:r w:rsidR="00AF5AB1" w:rsidRPr="00FF18DA">
        <w:rPr>
          <w:rFonts w:ascii="Times New Roman" w:hAnsi="Times New Roman" w:cs="Times New Roman"/>
        </w:rPr>
        <w:t>c</w:t>
      </w:r>
      <w:r w:rsidRPr="00FF18DA">
        <w:rPr>
          <w:rFonts w:ascii="Times New Roman" w:hAnsi="Times New Roman" w:cs="Times New Roman"/>
        </w:rPr>
        <w:t xml:space="preserve">oncurrent </w:t>
      </w:r>
      <w:r w:rsidR="00AF5AB1" w:rsidRPr="00FF18DA">
        <w:rPr>
          <w:rFonts w:ascii="Times New Roman" w:hAnsi="Times New Roman" w:cs="Times New Roman"/>
        </w:rPr>
        <w:t>m</w:t>
      </w:r>
      <w:r w:rsidRPr="00FF18DA">
        <w:rPr>
          <w:rFonts w:ascii="Times New Roman" w:hAnsi="Times New Roman" w:cs="Times New Roman"/>
        </w:rPr>
        <w:t>aintenance</w:t>
      </w:r>
      <w:r w:rsidR="00FF18DA" w:rsidRPr="00FF18DA">
        <w:rPr>
          <w:rFonts w:ascii="Times New Roman" w:hAnsi="Times New Roman" w:cs="Times New Roman"/>
        </w:rPr>
        <w:t>,</w:t>
      </w:r>
      <w:r w:rsidRPr="00FF18DA">
        <w:rPr>
          <w:rFonts w:ascii="Times New Roman" w:hAnsi="Times New Roman" w:cs="Times New Roman"/>
        </w:rPr>
        <w:t xml:space="preserve"> which allows maintenance to occur </w:t>
      </w:r>
      <w:r w:rsidR="00FF18DA" w:rsidRPr="00FF18DA">
        <w:rPr>
          <w:rFonts w:ascii="Times New Roman" w:hAnsi="Times New Roman" w:cs="Times New Roman"/>
        </w:rPr>
        <w:t>on</w:t>
      </w:r>
      <w:r w:rsidRPr="00FF18DA">
        <w:rPr>
          <w:rFonts w:ascii="Times New Roman" w:hAnsi="Times New Roman" w:cs="Times New Roman"/>
        </w:rPr>
        <w:t xml:space="preserve"> the power and cooling systems without the need of </w:t>
      </w:r>
      <w:r w:rsidR="00D85D44" w:rsidRPr="00FF18DA">
        <w:rPr>
          <w:rFonts w:ascii="Times New Roman" w:hAnsi="Times New Roman" w:cs="Times New Roman"/>
        </w:rPr>
        <w:t>shutting down equipment which a Tier I data center doesn’t support.</w:t>
      </w:r>
      <w:r w:rsidR="0002303E" w:rsidRPr="00FF18DA">
        <w:rPr>
          <w:rFonts w:ascii="Times New Roman" w:hAnsi="Times New Roman" w:cs="Times New Roman"/>
        </w:rPr>
        <w:t xml:space="preserve"> It also </w:t>
      </w:r>
      <w:r w:rsidR="007404E2" w:rsidRPr="00FF18DA">
        <w:rPr>
          <w:rFonts w:ascii="Times New Roman" w:hAnsi="Times New Roman" w:cs="Times New Roman"/>
        </w:rPr>
        <w:t>has</w:t>
      </w:r>
      <w:r w:rsidR="0002303E" w:rsidRPr="00FF18DA">
        <w:rPr>
          <w:rFonts w:ascii="Times New Roman" w:hAnsi="Times New Roman" w:cs="Times New Roman"/>
        </w:rPr>
        <w:t xml:space="preserve"> </w:t>
      </w:r>
      <w:r w:rsidR="003A12D0">
        <w:rPr>
          <w:rFonts w:ascii="Times New Roman" w:hAnsi="Times New Roman" w:cs="Times New Roman"/>
        </w:rPr>
        <w:t>a backup</w:t>
      </w:r>
      <w:r w:rsidR="0002303E" w:rsidRPr="00FF18DA">
        <w:rPr>
          <w:rFonts w:ascii="Times New Roman" w:hAnsi="Times New Roman" w:cs="Times New Roman"/>
        </w:rPr>
        <w:t xml:space="preserve"> power </w:t>
      </w:r>
      <w:r w:rsidR="003A12D0">
        <w:rPr>
          <w:rFonts w:ascii="Times New Roman" w:hAnsi="Times New Roman" w:cs="Times New Roman"/>
        </w:rPr>
        <w:t>supply</w:t>
      </w:r>
      <w:r w:rsidR="0002303E" w:rsidRPr="00FF18DA">
        <w:rPr>
          <w:rFonts w:ascii="Times New Roman" w:hAnsi="Times New Roman" w:cs="Times New Roman"/>
        </w:rPr>
        <w:t xml:space="preserve"> </w:t>
      </w:r>
      <w:r w:rsidR="005C12DC" w:rsidRPr="00FF18DA">
        <w:rPr>
          <w:rFonts w:ascii="Times New Roman" w:hAnsi="Times New Roman" w:cs="Times New Roman"/>
        </w:rPr>
        <w:t xml:space="preserve">for </w:t>
      </w:r>
      <w:r w:rsidR="007404E2" w:rsidRPr="00FF18DA">
        <w:rPr>
          <w:rFonts w:ascii="Times New Roman" w:hAnsi="Times New Roman" w:cs="Times New Roman"/>
        </w:rPr>
        <w:t>all its</w:t>
      </w:r>
      <w:r w:rsidR="005C12DC" w:rsidRPr="00FF18DA">
        <w:rPr>
          <w:rFonts w:ascii="Times New Roman" w:hAnsi="Times New Roman" w:cs="Times New Roman"/>
        </w:rPr>
        <w:t xml:space="preserve"> equipment </w:t>
      </w:r>
      <w:r w:rsidR="0002303E" w:rsidRPr="00FF18DA">
        <w:rPr>
          <w:rFonts w:ascii="Times New Roman" w:hAnsi="Times New Roman" w:cs="Times New Roman"/>
        </w:rPr>
        <w:t>wh</w:t>
      </w:r>
      <w:r w:rsidR="005C12DC" w:rsidRPr="00FF18DA">
        <w:rPr>
          <w:rFonts w:ascii="Times New Roman" w:hAnsi="Times New Roman" w:cs="Times New Roman"/>
        </w:rPr>
        <w:t xml:space="preserve">ich </w:t>
      </w:r>
      <w:r w:rsidR="007404E2" w:rsidRPr="00FF18DA">
        <w:rPr>
          <w:rFonts w:ascii="Times New Roman" w:hAnsi="Times New Roman" w:cs="Times New Roman"/>
        </w:rPr>
        <w:t xml:space="preserve">means that if </w:t>
      </w:r>
      <w:r w:rsidR="003A12D0">
        <w:rPr>
          <w:rFonts w:ascii="Times New Roman" w:hAnsi="Times New Roman" w:cs="Times New Roman"/>
        </w:rPr>
        <w:t>the main</w:t>
      </w:r>
      <w:r w:rsidR="007404E2" w:rsidRPr="00FF18DA">
        <w:rPr>
          <w:rFonts w:ascii="Times New Roman" w:hAnsi="Times New Roman" w:cs="Times New Roman"/>
        </w:rPr>
        <w:t xml:space="preserve"> power source </w:t>
      </w:r>
      <w:r w:rsidR="003A12D0">
        <w:rPr>
          <w:rFonts w:ascii="Times New Roman" w:hAnsi="Times New Roman" w:cs="Times New Roman"/>
        </w:rPr>
        <w:t>shuts</w:t>
      </w:r>
      <w:r w:rsidR="007404E2" w:rsidRPr="00FF18DA">
        <w:rPr>
          <w:rFonts w:ascii="Times New Roman" w:hAnsi="Times New Roman" w:cs="Times New Roman"/>
        </w:rPr>
        <w:t xml:space="preserve"> off, the </w:t>
      </w:r>
      <w:r w:rsidR="003A12D0">
        <w:rPr>
          <w:rFonts w:ascii="Times New Roman" w:hAnsi="Times New Roman" w:cs="Times New Roman"/>
        </w:rPr>
        <w:t>backup power source</w:t>
      </w:r>
      <w:r w:rsidR="007404E2" w:rsidRPr="00FF18DA">
        <w:rPr>
          <w:rFonts w:ascii="Times New Roman" w:hAnsi="Times New Roman" w:cs="Times New Roman"/>
        </w:rPr>
        <w:t xml:space="preserve"> will take over</w:t>
      </w:r>
      <w:r w:rsidR="00B845E7" w:rsidRPr="00FF18DA">
        <w:rPr>
          <w:rFonts w:ascii="Times New Roman" w:hAnsi="Times New Roman" w:cs="Times New Roman"/>
        </w:rPr>
        <w:t xml:space="preserve"> immediately</w:t>
      </w:r>
      <w:r w:rsidR="005B535D">
        <w:rPr>
          <w:rFonts w:ascii="Times New Roman" w:hAnsi="Times New Roman" w:cs="Times New Roman"/>
        </w:rPr>
        <w:t xml:space="preserve"> unlike a</w:t>
      </w:r>
      <w:r w:rsidR="003A12D0">
        <w:rPr>
          <w:rFonts w:ascii="Times New Roman" w:hAnsi="Times New Roman" w:cs="Times New Roman"/>
        </w:rPr>
        <w:t xml:space="preserve"> Tier I data center</w:t>
      </w:r>
      <w:r w:rsidR="005B535D">
        <w:rPr>
          <w:rFonts w:ascii="Times New Roman" w:hAnsi="Times New Roman" w:cs="Times New Roman"/>
        </w:rPr>
        <w:t>. These benefits</w:t>
      </w:r>
      <w:r w:rsidR="00D85D44" w:rsidRPr="00FF18DA">
        <w:rPr>
          <w:rFonts w:ascii="Times New Roman" w:hAnsi="Times New Roman" w:cs="Times New Roman"/>
        </w:rPr>
        <w:t xml:space="preserve"> will reduce our downtime from 1734.48 minutes to 105.12 minutes</w:t>
      </w:r>
      <w:r w:rsidR="003A12D0">
        <w:rPr>
          <w:rFonts w:ascii="Times New Roman" w:hAnsi="Times New Roman" w:cs="Times New Roman"/>
        </w:rPr>
        <w:t xml:space="preserve"> </w:t>
      </w:r>
      <w:r w:rsidR="003A12D0" w:rsidRPr="00FF18DA">
        <w:rPr>
          <w:rFonts w:ascii="Times New Roman" w:hAnsi="Times New Roman" w:cs="Times New Roman"/>
        </w:rPr>
        <w:t>keep</w:t>
      </w:r>
      <w:r w:rsidR="003A12D0">
        <w:rPr>
          <w:rFonts w:ascii="Times New Roman" w:hAnsi="Times New Roman" w:cs="Times New Roman"/>
        </w:rPr>
        <w:t>ing</w:t>
      </w:r>
      <w:r w:rsidR="003A12D0" w:rsidRPr="00FF18DA">
        <w:rPr>
          <w:rFonts w:ascii="Times New Roman" w:hAnsi="Times New Roman" w:cs="Times New Roman"/>
        </w:rPr>
        <w:t xml:space="preserve"> our company more efficient and reduc</w:t>
      </w:r>
      <w:r w:rsidR="003A12D0">
        <w:rPr>
          <w:rFonts w:ascii="Times New Roman" w:hAnsi="Times New Roman" w:cs="Times New Roman"/>
        </w:rPr>
        <w:t>ing</w:t>
      </w:r>
      <w:r w:rsidR="003A12D0" w:rsidRPr="00FF18DA">
        <w:rPr>
          <w:rFonts w:ascii="Times New Roman" w:hAnsi="Times New Roman" w:cs="Times New Roman"/>
        </w:rPr>
        <w:t xml:space="preserve"> financial loss</w:t>
      </w:r>
      <w:r w:rsidR="005B535D">
        <w:rPr>
          <w:rFonts w:ascii="Times New Roman" w:hAnsi="Times New Roman" w:cs="Times New Roman"/>
        </w:rPr>
        <w:t>.</w:t>
      </w:r>
    </w:p>
    <w:p w14:paraId="6C19B81B" w14:textId="6E095E4A" w:rsidR="00566DAE" w:rsidRDefault="001772FB" w:rsidP="00FF18DA">
      <w:pPr>
        <w:spacing w:line="480" w:lineRule="auto"/>
        <w:ind w:firstLine="720"/>
        <w:rPr>
          <w:rFonts w:ascii="Times New Roman" w:hAnsi="Times New Roman" w:cs="Times New Roman"/>
        </w:rPr>
      </w:pPr>
      <w:r w:rsidRPr="00FF18DA">
        <w:rPr>
          <w:rFonts w:ascii="Times New Roman" w:hAnsi="Times New Roman" w:cs="Times New Roman"/>
        </w:rPr>
        <w:t>A Tier III data center</w:t>
      </w:r>
      <w:r w:rsidR="00837910" w:rsidRPr="00FF18DA">
        <w:rPr>
          <w:rFonts w:ascii="Times New Roman" w:hAnsi="Times New Roman" w:cs="Times New Roman"/>
        </w:rPr>
        <w:t xml:space="preserve"> will</w:t>
      </w:r>
      <w:r w:rsidRPr="00FF18DA">
        <w:rPr>
          <w:rFonts w:ascii="Times New Roman" w:hAnsi="Times New Roman" w:cs="Times New Roman"/>
        </w:rPr>
        <w:t xml:space="preserve"> reduce our downtime cost from $25,670,304 to $1,555,776 a year</w:t>
      </w:r>
      <w:r w:rsidR="00FF18DA" w:rsidRPr="00FF18DA">
        <w:rPr>
          <w:rFonts w:ascii="Times New Roman" w:hAnsi="Times New Roman" w:cs="Times New Roman"/>
        </w:rPr>
        <w:t xml:space="preserve">, </w:t>
      </w:r>
      <w:r w:rsidRPr="00FF18DA">
        <w:rPr>
          <w:rFonts w:ascii="Times New Roman" w:hAnsi="Times New Roman" w:cs="Times New Roman"/>
        </w:rPr>
        <w:t>which is a saving of over 93%</w:t>
      </w:r>
      <w:r w:rsidR="00903B4A" w:rsidRPr="00FF18DA">
        <w:rPr>
          <w:rFonts w:ascii="Times New Roman" w:hAnsi="Times New Roman" w:cs="Times New Roman"/>
        </w:rPr>
        <w:t xml:space="preserve"> in losses</w:t>
      </w:r>
      <w:r w:rsidRPr="00FF18DA">
        <w:rPr>
          <w:rFonts w:ascii="Times New Roman" w:hAnsi="Times New Roman" w:cs="Times New Roman"/>
        </w:rPr>
        <w:t xml:space="preserve"> a year. </w:t>
      </w:r>
      <w:r w:rsidR="00103988">
        <w:rPr>
          <w:rFonts w:ascii="Times New Roman" w:hAnsi="Times New Roman" w:cs="Times New Roman"/>
        </w:rPr>
        <w:t>It</w:t>
      </w:r>
      <w:r w:rsidRPr="00FF18DA">
        <w:rPr>
          <w:rFonts w:ascii="Times New Roman" w:hAnsi="Times New Roman" w:cs="Times New Roman"/>
        </w:rPr>
        <w:t xml:space="preserve"> will cost the company $35,000,000 to build and it will take one</w:t>
      </w:r>
      <w:r w:rsidR="00837910" w:rsidRPr="00FF18DA">
        <w:rPr>
          <w:rFonts w:ascii="Times New Roman" w:hAnsi="Times New Roman" w:cs="Times New Roman"/>
        </w:rPr>
        <w:t xml:space="preserve"> </w:t>
      </w:r>
      <w:r w:rsidRPr="00FF18DA">
        <w:rPr>
          <w:rFonts w:ascii="Times New Roman" w:hAnsi="Times New Roman" w:cs="Times New Roman"/>
        </w:rPr>
        <w:t>year to be complete</w:t>
      </w:r>
      <w:r w:rsidR="00837910" w:rsidRPr="00FF18DA">
        <w:rPr>
          <w:rFonts w:ascii="Times New Roman" w:hAnsi="Times New Roman" w:cs="Times New Roman"/>
        </w:rPr>
        <w:t>d</w:t>
      </w:r>
      <w:r w:rsidRPr="00FF18DA">
        <w:rPr>
          <w:rFonts w:ascii="Times New Roman" w:hAnsi="Times New Roman" w:cs="Times New Roman"/>
        </w:rPr>
        <w:t xml:space="preserve">. </w:t>
      </w:r>
      <w:r w:rsidR="00C678BD" w:rsidRPr="00FF18DA">
        <w:rPr>
          <w:rFonts w:ascii="Times New Roman" w:hAnsi="Times New Roman" w:cs="Times New Roman"/>
        </w:rPr>
        <w:t xml:space="preserve">We will recoup the cost of the data center within two years after it is built since we will be saving $24,114,528 a year. After the </w:t>
      </w:r>
      <w:r w:rsidR="00FF18DA" w:rsidRPr="00FF18DA">
        <w:rPr>
          <w:rFonts w:ascii="Times New Roman" w:hAnsi="Times New Roman" w:cs="Times New Roman"/>
        </w:rPr>
        <w:t>three-year</w:t>
      </w:r>
      <w:r w:rsidR="00C678BD" w:rsidRPr="00FF18DA">
        <w:rPr>
          <w:rFonts w:ascii="Times New Roman" w:hAnsi="Times New Roman" w:cs="Times New Roman"/>
        </w:rPr>
        <w:t xml:space="preserve"> period, our company will see a consistent downtime cost of only $1,555,776 instead of $25,670,304. </w:t>
      </w:r>
    </w:p>
    <w:p w14:paraId="312A95A8" w14:textId="4B479199" w:rsidR="001377FD" w:rsidRDefault="001377FD" w:rsidP="00FF18DA"/>
    <w:p w14:paraId="13A985CF" w14:textId="697F06E7" w:rsidR="00110787" w:rsidRDefault="00110787" w:rsidP="00FF18DA"/>
    <w:p w14:paraId="4938A84E" w14:textId="4388B01A" w:rsidR="00110787" w:rsidRDefault="00110787" w:rsidP="00FF18DA"/>
    <w:p w14:paraId="4F95E8D4" w14:textId="77777777" w:rsidR="00EF16DD" w:rsidRDefault="00EF16DD" w:rsidP="00FF18DA">
      <w:pPr>
        <w:jc w:val="center"/>
      </w:pPr>
    </w:p>
    <w:p w14:paraId="5AF1CFCE" w14:textId="77777777" w:rsidR="00EF16DD" w:rsidRDefault="00EF16DD" w:rsidP="00EF16DD">
      <w:pPr>
        <w:rPr>
          <w:rFonts w:ascii="Times New Roman" w:hAnsi="Times New Roman" w:cs="Times New Roman"/>
          <w:b/>
          <w:sz w:val="24"/>
          <w:szCs w:val="24"/>
        </w:rPr>
      </w:pPr>
    </w:p>
    <w:p w14:paraId="512CEDD7" w14:textId="4511E7AE" w:rsidR="00FF18DA" w:rsidRPr="008D50C7" w:rsidRDefault="00FF18DA" w:rsidP="00EF16D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50C7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20BEB413" w14:textId="44CFDCC0" w:rsidR="00FF18DA" w:rsidRPr="00CA28BD" w:rsidRDefault="00FF18DA" w:rsidP="00FF18DA">
      <w:pPr>
        <w:spacing w:line="480" w:lineRule="auto"/>
        <w:ind w:hanging="330"/>
        <w:rPr>
          <w:rFonts w:ascii="Times New Roman" w:eastAsia="Times New Roman" w:hAnsi="Times New Roman" w:cs="Times New Roman"/>
        </w:rPr>
      </w:pPr>
      <w:r w:rsidRPr="00CA28BD">
        <w:rPr>
          <w:rFonts w:ascii="Times New Roman" w:eastAsia="Times New Roman" w:hAnsi="Times New Roman" w:cs="Times New Roman"/>
        </w:rPr>
        <w:t>“Explain: Tier 1 / Tier 2 / Tier 3 / Tier 4 Data Center.” </w:t>
      </w:r>
      <w:proofErr w:type="spellStart"/>
      <w:r w:rsidRPr="00CA28BD">
        <w:rPr>
          <w:rFonts w:ascii="Times New Roman" w:eastAsia="Times New Roman" w:hAnsi="Times New Roman" w:cs="Times New Roman"/>
          <w:i/>
          <w:iCs/>
        </w:rPr>
        <w:t>NixCraft</w:t>
      </w:r>
      <w:proofErr w:type="spellEnd"/>
      <w:r w:rsidRPr="00CA28BD">
        <w:rPr>
          <w:rFonts w:ascii="Times New Roman" w:eastAsia="Times New Roman" w:hAnsi="Times New Roman" w:cs="Times New Roman"/>
        </w:rPr>
        <w:t xml:space="preserve">, 29 Jan. 2011, </w:t>
      </w:r>
      <w:hyperlink r:id="rId7" w:history="1">
        <w:r w:rsidRPr="00CA28BD">
          <w:rPr>
            <w:rStyle w:val="Hyperlink"/>
            <w:rFonts w:ascii="Times New Roman" w:eastAsia="Times New Roman" w:hAnsi="Times New Roman" w:cs="Times New Roman"/>
            <w:color w:val="auto"/>
          </w:rPr>
          <w:t>www.cyberciti.biz/faq/data-center-standard-overview/</w:t>
        </w:r>
      </w:hyperlink>
      <w:r w:rsidRPr="00CA28BD">
        <w:rPr>
          <w:rFonts w:ascii="Times New Roman" w:eastAsia="Times New Roman" w:hAnsi="Times New Roman" w:cs="Times New Roman"/>
        </w:rPr>
        <w:t>.</w:t>
      </w:r>
    </w:p>
    <w:p w14:paraId="5C7A2FA7" w14:textId="77777777" w:rsidR="00EB27C2" w:rsidRDefault="00FF18DA" w:rsidP="00A34DD7">
      <w:pPr>
        <w:spacing w:line="480" w:lineRule="auto"/>
        <w:ind w:hanging="330"/>
        <w:rPr>
          <w:rFonts w:ascii="Times New Roman" w:hAnsi="Times New Roman" w:cs="Times New Roman"/>
        </w:rPr>
      </w:pPr>
      <w:r w:rsidRPr="00CA28BD">
        <w:rPr>
          <w:rFonts w:ascii="Times New Roman" w:hAnsi="Times New Roman" w:cs="Times New Roman"/>
        </w:rPr>
        <w:t xml:space="preserve">Uptime Institute, LLC. “Data Center Site Infrastructure Tier Standard: Topology.” (2012): 1-7. </w:t>
      </w:r>
    </w:p>
    <w:p w14:paraId="43AD23AD" w14:textId="37D4096B" w:rsidR="00FF18DA" w:rsidRPr="00CA28BD" w:rsidRDefault="00FF18DA" w:rsidP="00EB27C2">
      <w:pPr>
        <w:spacing w:line="480" w:lineRule="auto"/>
        <w:rPr>
          <w:rFonts w:ascii="Times New Roman" w:hAnsi="Times New Roman" w:cs="Times New Roman"/>
        </w:rPr>
      </w:pPr>
      <w:r w:rsidRPr="00CA28BD">
        <w:rPr>
          <w:rFonts w:ascii="Times New Roman" w:hAnsi="Times New Roman" w:cs="Times New Roman"/>
        </w:rPr>
        <w:t>Print.</w:t>
      </w:r>
    </w:p>
    <w:p w14:paraId="1E61335E" w14:textId="77777777" w:rsidR="00CA28BD" w:rsidRPr="00CA28BD" w:rsidRDefault="00CA28BD" w:rsidP="00CA28BD">
      <w:pPr>
        <w:spacing w:line="480" w:lineRule="auto"/>
        <w:ind w:hanging="330"/>
        <w:rPr>
          <w:rFonts w:ascii="Times New Roman" w:eastAsia="Times New Roman" w:hAnsi="Times New Roman" w:cs="Times New Roman"/>
        </w:rPr>
      </w:pPr>
      <w:r w:rsidRPr="00CA28BD">
        <w:rPr>
          <w:rFonts w:ascii="Times New Roman" w:eastAsia="Times New Roman" w:hAnsi="Times New Roman" w:cs="Times New Roman"/>
        </w:rPr>
        <w:t>“What is tier I, II, III, IV when it comes to data center? ...” </w:t>
      </w:r>
      <w:r w:rsidRPr="00CA28BD">
        <w:rPr>
          <w:rFonts w:ascii="Times New Roman" w:eastAsia="Times New Roman" w:hAnsi="Times New Roman" w:cs="Times New Roman"/>
          <w:i/>
          <w:iCs/>
        </w:rPr>
        <w:t>Psychz.Net</w:t>
      </w:r>
      <w:r w:rsidRPr="00CA28BD">
        <w:rPr>
          <w:rFonts w:ascii="Times New Roman" w:eastAsia="Times New Roman" w:hAnsi="Times New Roman" w:cs="Times New Roman"/>
        </w:rPr>
        <w:t>, 7 Apr. 2017, www.psychz.net/client/question/en/what-is-tier-i-ii-iii-iv-when-it-comes-to-data-center.html.</w:t>
      </w:r>
    </w:p>
    <w:p w14:paraId="608839E9" w14:textId="77777777" w:rsidR="00CA28BD" w:rsidRPr="003A12D0" w:rsidRDefault="00CA28BD" w:rsidP="00A34DD7">
      <w:pPr>
        <w:spacing w:line="480" w:lineRule="auto"/>
        <w:ind w:hanging="330"/>
        <w:rPr>
          <w:rFonts w:ascii="Times New Roman" w:hAnsi="Times New Roman" w:cs="Times New Roman"/>
        </w:rPr>
      </w:pPr>
    </w:p>
    <w:p w14:paraId="2C9A3E14" w14:textId="77777777" w:rsidR="00FF18DA" w:rsidRPr="003A12D0" w:rsidRDefault="00FF18DA" w:rsidP="00B845E7">
      <w:pPr>
        <w:jc w:val="center"/>
        <w:rPr>
          <w:rFonts w:ascii="Times New Roman" w:hAnsi="Times New Roman" w:cs="Times New Roman"/>
        </w:rPr>
      </w:pPr>
    </w:p>
    <w:p w14:paraId="6DB90535" w14:textId="77777777" w:rsidR="00FF18DA" w:rsidRPr="00FF18DA" w:rsidRDefault="00FF18DA" w:rsidP="00B845E7">
      <w:pPr>
        <w:jc w:val="center"/>
        <w:rPr>
          <w:rFonts w:ascii="Times New Roman" w:hAnsi="Times New Roman" w:cs="Times New Roman"/>
        </w:rPr>
      </w:pPr>
    </w:p>
    <w:p w14:paraId="0490359F" w14:textId="77777777" w:rsidR="00FF18DA" w:rsidRPr="00FF18DA" w:rsidRDefault="00FF18DA" w:rsidP="00B845E7">
      <w:pPr>
        <w:jc w:val="center"/>
        <w:rPr>
          <w:rFonts w:ascii="Times New Roman" w:hAnsi="Times New Roman" w:cs="Times New Roman"/>
        </w:rPr>
      </w:pPr>
    </w:p>
    <w:p w14:paraId="7A18E554" w14:textId="77777777" w:rsidR="00FF18DA" w:rsidRDefault="00FF18DA" w:rsidP="00B845E7">
      <w:pPr>
        <w:jc w:val="center"/>
      </w:pPr>
    </w:p>
    <w:p w14:paraId="5A96A11B" w14:textId="77777777" w:rsidR="00FF18DA" w:rsidRDefault="00FF18DA" w:rsidP="00B845E7">
      <w:pPr>
        <w:jc w:val="center"/>
      </w:pPr>
    </w:p>
    <w:p w14:paraId="673462CB" w14:textId="77777777" w:rsidR="00FF18DA" w:rsidRDefault="00FF18DA" w:rsidP="00B845E7">
      <w:pPr>
        <w:jc w:val="center"/>
      </w:pPr>
    </w:p>
    <w:p w14:paraId="3AA8173D" w14:textId="77777777" w:rsidR="00FF18DA" w:rsidRDefault="00FF18DA" w:rsidP="00B845E7">
      <w:pPr>
        <w:jc w:val="center"/>
      </w:pPr>
    </w:p>
    <w:p w14:paraId="065CBF0C" w14:textId="77777777" w:rsidR="00FF18DA" w:rsidRDefault="00FF18DA" w:rsidP="00B845E7">
      <w:pPr>
        <w:jc w:val="center"/>
      </w:pPr>
    </w:p>
    <w:p w14:paraId="0D1D7491" w14:textId="77777777" w:rsidR="00FF18DA" w:rsidRDefault="00FF18DA" w:rsidP="00B845E7">
      <w:pPr>
        <w:jc w:val="center"/>
      </w:pPr>
    </w:p>
    <w:p w14:paraId="2AEBC57C" w14:textId="77777777" w:rsidR="00FF18DA" w:rsidRDefault="00FF18DA" w:rsidP="00B845E7">
      <w:pPr>
        <w:jc w:val="center"/>
      </w:pPr>
    </w:p>
    <w:p w14:paraId="5EDB54DE" w14:textId="77777777" w:rsidR="00FF18DA" w:rsidRDefault="00FF18DA" w:rsidP="00B845E7">
      <w:pPr>
        <w:jc w:val="center"/>
      </w:pPr>
    </w:p>
    <w:p w14:paraId="6919E9B9" w14:textId="77777777" w:rsidR="00FF18DA" w:rsidRDefault="00FF18DA" w:rsidP="00B845E7">
      <w:pPr>
        <w:jc w:val="center"/>
      </w:pPr>
    </w:p>
    <w:p w14:paraId="7F732E11" w14:textId="77777777" w:rsidR="00FF18DA" w:rsidRDefault="00FF18DA" w:rsidP="00B845E7">
      <w:pPr>
        <w:jc w:val="center"/>
      </w:pPr>
    </w:p>
    <w:p w14:paraId="29C082A4" w14:textId="77777777" w:rsidR="00FF18DA" w:rsidRDefault="00FF18DA" w:rsidP="00B845E7">
      <w:pPr>
        <w:jc w:val="center"/>
      </w:pPr>
    </w:p>
    <w:p w14:paraId="69E4497C" w14:textId="77777777" w:rsidR="00FF18DA" w:rsidRDefault="00FF18DA" w:rsidP="00B845E7">
      <w:pPr>
        <w:jc w:val="center"/>
      </w:pPr>
    </w:p>
    <w:p w14:paraId="729C8FE3" w14:textId="5E185CC1" w:rsidR="0093748D" w:rsidRDefault="0093748D" w:rsidP="001377FD"/>
    <w:p w14:paraId="67AB510C" w14:textId="77777777" w:rsidR="00110787" w:rsidRDefault="00110787" w:rsidP="001377FD"/>
    <w:p w14:paraId="36472FD7" w14:textId="5D300C4B" w:rsidR="0093748D" w:rsidRDefault="00C21756" w:rsidP="001377FD">
      <w:r>
        <w:lastRenderedPageBreak/>
        <w:t xml:space="preserve">Cost to build (Tier III Data Center): </w:t>
      </w:r>
      <w:r w:rsidRPr="00C21756">
        <w:rPr>
          <w:b/>
          <w:u w:val="single"/>
        </w:rPr>
        <w:t>$35,000,000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866"/>
        <w:gridCol w:w="1866"/>
        <w:gridCol w:w="1866"/>
        <w:gridCol w:w="1867"/>
      </w:tblGrid>
      <w:tr w:rsidR="0029536A" w14:paraId="132BD936" w14:textId="77777777" w:rsidTr="00DE541E">
        <w:trPr>
          <w:trHeight w:val="620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D6734F" w14:textId="77777777" w:rsidR="0029536A" w:rsidRPr="001377FD" w:rsidRDefault="0029536A" w:rsidP="00DE541E">
            <w:pPr>
              <w:jc w:val="center"/>
              <w:rPr>
                <w:b/>
                <w:u w:val="single"/>
              </w:rPr>
            </w:pPr>
            <w:r w:rsidRPr="001377FD">
              <w:rPr>
                <w:b/>
                <w:u w:val="single"/>
              </w:rPr>
              <w:t>Type of Tiers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125DC3" w14:textId="77777777" w:rsidR="0029536A" w:rsidRPr="001377FD" w:rsidRDefault="0029536A" w:rsidP="00DE541E">
            <w:pPr>
              <w:jc w:val="center"/>
              <w:rPr>
                <w:b/>
                <w:u w:val="single"/>
              </w:rPr>
            </w:pPr>
            <w:r w:rsidRPr="001377FD">
              <w:rPr>
                <w:b/>
                <w:u w:val="single"/>
              </w:rPr>
              <w:t>Availability</w:t>
            </w:r>
            <w:r w:rsidR="00C11A10" w:rsidRPr="001377FD">
              <w:rPr>
                <w:b/>
                <w:u w:val="single"/>
              </w:rPr>
              <w:t xml:space="preserve"> (%)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3E74B" w14:textId="77777777" w:rsidR="0029536A" w:rsidRPr="001377FD" w:rsidRDefault="0029536A" w:rsidP="00DE541E">
            <w:pPr>
              <w:jc w:val="center"/>
              <w:rPr>
                <w:b/>
                <w:u w:val="single"/>
              </w:rPr>
            </w:pPr>
            <w:r w:rsidRPr="001377FD">
              <w:rPr>
                <w:b/>
                <w:u w:val="single"/>
              </w:rPr>
              <w:t>Downtime</w:t>
            </w:r>
            <w:r w:rsidR="00C11A10" w:rsidRPr="001377FD">
              <w:rPr>
                <w:b/>
                <w:u w:val="single"/>
              </w:rPr>
              <w:t xml:space="preserve"> (%)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ECFFFD" w14:textId="77777777" w:rsidR="0029536A" w:rsidRPr="001377FD" w:rsidRDefault="0029536A" w:rsidP="00DE541E">
            <w:pPr>
              <w:jc w:val="center"/>
              <w:rPr>
                <w:b/>
                <w:u w:val="single"/>
              </w:rPr>
            </w:pPr>
            <w:r w:rsidRPr="001377FD">
              <w:rPr>
                <w:b/>
                <w:u w:val="single"/>
              </w:rPr>
              <w:t>Minutes of Downtime (</w:t>
            </w:r>
            <w:r w:rsidR="00DE541E" w:rsidRPr="001377FD">
              <w:rPr>
                <w:b/>
                <w:u w:val="single"/>
              </w:rPr>
              <w:t xml:space="preserve">per </w:t>
            </w:r>
            <w:r w:rsidRPr="001377FD">
              <w:rPr>
                <w:b/>
                <w:u w:val="single"/>
              </w:rPr>
              <w:t>year)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255B48" w14:textId="77777777" w:rsidR="0029536A" w:rsidRPr="001377FD" w:rsidRDefault="00DE541E" w:rsidP="00DE541E">
            <w:pPr>
              <w:jc w:val="center"/>
              <w:rPr>
                <w:b/>
                <w:u w:val="single"/>
              </w:rPr>
            </w:pPr>
            <w:r w:rsidRPr="001377FD">
              <w:rPr>
                <w:b/>
                <w:u w:val="single"/>
              </w:rPr>
              <w:t>Cost of Downtime (per year)</w:t>
            </w:r>
          </w:p>
        </w:tc>
      </w:tr>
      <w:tr w:rsidR="0029536A" w14:paraId="3ABEC4D4" w14:textId="77777777" w:rsidTr="00AA03D0"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38B06E" w14:textId="77777777" w:rsidR="0029536A" w:rsidRDefault="00DE541E" w:rsidP="000C2813">
            <w:r>
              <w:t>Tier I (Current)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D52E32" w14:textId="77777777" w:rsidR="0029536A" w:rsidRDefault="00C11A10" w:rsidP="00AA03D0">
            <w:pPr>
              <w:jc w:val="right"/>
            </w:pPr>
            <w:r>
              <w:t>99.67%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5A23E2" w14:textId="77777777" w:rsidR="0029536A" w:rsidRDefault="00AA03D0" w:rsidP="00AA03D0">
            <w:pPr>
              <w:jc w:val="right"/>
            </w:pPr>
            <w:r>
              <w:t>0.33%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1F6845" w14:textId="77777777" w:rsidR="0029536A" w:rsidRDefault="00AA03D0" w:rsidP="00AA03D0">
            <w:pPr>
              <w:jc w:val="right"/>
            </w:pPr>
            <w:r>
              <w:t>1734.48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F010BB" w14:textId="77777777" w:rsidR="0029536A" w:rsidRDefault="00AA03D0" w:rsidP="00AA03D0">
            <w:pPr>
              <w:jc w:val="right"/>
            </w:pPr>
            <w:r>
              <w:t>$25,670,304</w:t>
            </w:r>
          </w:p>
        </w:tc>
      </w:tr>
      <w:tr w:rsidR="0029536A" w14:paraId="0AE7FDFD" w14:textId="77777777" w:rsidTr="00AA03D0">
        <w:tc>
          <w:tcPr>
            <w:tcW w:w="1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1CC43" w14:textId="77777777" w:rsidR="0029536A" w:rsidRDefault="00DE541E" w:rsidP="000C2813">
            <w:r>
              <w:t>Tier III (Proposed)</w:t>
            </w:r>
          </w:p>
        </w:tc>
        <w:tc>
          <w:tcPr>
            <w:tcW w:w="1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5F89C" w14:textId="77777777" w:rsidR="0029536A" w:rsidRDefault="00C11A10" w:rsidP="00AA03D0">
            <w:pPr>
              <w:jc w:val="right"/>
            </w:pPr>
            <w:r>
              <w:t>99.98%</w:t>
            </w:r>
          </w:p>
        </w:tc>
        <w:tc>
          <w:tcPr>
            <w:tcW w:w="1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F6372" w14:textId="77777777" w:rsidR="0029536A" w:rsidRDefault="00AA03D0" w:rsidP="00AA03D0">
            <w:pPr>
              <w:jc w:val="right"/>
            </w:pPr>
            <w:r>
              <w:t>0.02%</w:t>
            </w:r>
          </w:p>
        </w:tc>
        <w:tc>
          <w:tcPr>
            <w:tcW w:w="1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6E00A" w14:textId="77777777" w:rsidR="0029536A" w:rsidRDefault="00AA03D0" w:rsidP="00AA03D0">
            <w:pPr>
              <w:jc w:val="right"/>
            </w:pPr>
            <w:r>
              <w:t>105.12</w:t>
            </w:r>
          </w:p>
        </w:tc>
        <w:tc>
          <w:tcPr>
            <w:tcW w:w="1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D8804" w14:textId="77777777" w:rsidR="0029536A" w:rsidRDefault="00AA03D0" w:rsidP="00AA03D0">
            <w:pPr>
              <w:jc w:val="right"/>
            </w:pPr>
            <w:r>
              <w:t>$1,555,776</w:t>
            </w:r>
          </w:p>
        </w:tc>
      </w:tr>
      <w:tr w:rsidR="0029536A" w14:paraId="17DE37F6" w14:textId="77777777" w:rsidTr="005C6D31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78D95" w14:textId="0580BC51" w:rsidR="0029536A" w:rsidRDefault="001377FD" w:rsidP="000C2813">
            <w:r>
              <w:t>Benefit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F4939" w14:textId="77777777" w:rsidR="0029536A" w:rsidRDefault="0029536A" w:rsidP="000C2813"/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8DD1C" w14:textId="77777777" w:rsidR="0029536A" w:rsidRPr="005C6D31" w:rsidRDefault="00AA03D0" w:rsidP="00AA03D0">
            <w:pPr>
              <w:jc w:val="right"/>
              <w:rPr>
                <w:b/>
              </w:rPr>
            </w:pPr>
            <w:r w:rsidRPr="005C6D31">
              <w:rPr>
                <w:b/>
              </w:rPr>
              <w:t>0.31%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75280" w14:textId="77777777" w:rsidR="0029536A" w:rsidRPr="005C6D31" w:rsidRDefault="00AA03D0" w:rsidP="00AA03D0">
            <w:pPr>
              <w:jc w:val="right"/>
              <w:rPr>
                <w:b/>
              </w:rPr>
            </w:pPr>
            <w:r w:rsidRPr="005C6D31">
              <w:rPr>
                <w:b/>
              </w:rPr>
              <w:t>1629.36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274DA0F" w14:textId="6B30F07D" w:rsidR="0029536A" w:rsidRPr="005C6D31" w:rsidRDefault="00C678BD" w:rsidP="00AA03D0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AA03D0" w:rsidRPr="005C6D31">
              <w:rPr>
                <w:b/>
              </w:rPr>
              <w:t>24,114,528</w:t>
            </w:r>
          </w:p>
        </w:tc>
      </w:tr>
    </w:tbl>
    <w:p w14:paraId="2C329430" w14:textId="5A9D0350" w:rsidR="00504133" w:rsidRDefault="00504133" w:rsidP="000C2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65"/>
        <w:gridCol w:w="1865"/>
        <w:gridCol w:w="1866"/>
        <w:gridCol w:w="1867"/>
      </w:tblGrid>
      <w:tr w:rsidR="00C55877" w14:paraId="18AA6E33" w14:textId="77777777" w:rsidTr="00C55877">
        <w:trPr>
          <w:trHeight w:val="330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BEA51" w14:textId="2BB6CFA7" w:rsidR="00C55877" w:rsidRPr="001377FD" w:rsidRDefault="00C55877" w:rsidP="00C55877">
            <w:pPr>
              <w:jc w:val="center"/>
              <w:rPr>
                <w:b/>
                <w:u w:val="single"/>
              </w:rPr>
            </w:pPr>
            <w:r w:rsidRPr="001377FD">
              <w:rPr>
                <w:b/>
                <w:u w:val="single"/>
              </w:rPr>
              <w:t>Type of Tiers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78F620" w14:textId="77777777" w:rsidR="00C55877" w:rsidRPr="001377FD" w:rsidRDefault="00C55877" w:rsidP="00C55877">
            <w:pPr>
              <w:jc w:val="center"/>
              <w:rPr>
                <w:b/>
                <w:u w:val="single"/>
              </w:rPr>
            </w:pPr>
            <w:r w:rsidRPr="001377FD">
              <w:rPr>
                <w:b/>
                <w:u w:val="single"/>
              </w:rPr>
              <w:t>Year 1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86F527" w14:textId="77777777" w:rsidR="00C55877" w:rsidRPr="001377FD" w:rsidRDefault="00C55877" w:rsidP="00C55877">
            <w:pPr>
              <w:jc w:val="center"/>
              <w:rPr>
                <w:b/>
                <w:u w:val="single"/>
              </w:rPr>
            </w:pPr>
            <w:r w:rsidRPr="001377FD">
              <w:rPr>
                <w:b/>
                <w:u w:val="single"/>
              </w:rPr>
              <w:t>Year 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77B69B" w14:textId="77777777" w:rsidR="00C55877" w:rsidRPr="001377FD" w:rsidRDefault="00C55877" w:rsidP="00C55877">
            <w:pPr>
              <w:jc w:val="center"/>
              <w:rPr>
                <w:b/>
                <w:u w:val="single"/>
              </w:rPr>
            </w:pPr>
            <w:r w:rsidRPr="001377FD">
              <w:rPr>
                <w:b/>
                <w:u w:val="single"/>
              </w:rPr>
              <w:t>Year 3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A51F31" w14:textId="35387C66" w:rsidR="00C55877" w:rsidRPr="001377FD" w:rsidRDefault="00C55877" w:rsidP="00C55877">
            <w:pPr>
              <w:jc w:val="center"/>
              <w:rPr>
                <w:b/>
                <w:u w:val="single"/>
              </w:rPr>
            </w:pPr>
            <w:r w:rsidRPr="001377FD">
              <w:rPr>
                <w:b/>
                <w:u w:val="single"/>
              </w:rPr>
              <w:t>Total Cost</w:t>
            </w:r>
          </w:p>
        </w:tc>
      </w:tr>
      <w:tr w:rsidR="00C55877" w14:paraId="03791EFB" w14:textId="77777777" w:rsidTr="00340A33">
        <w:tc>
          <w:tcPr>
            <w:tcW w:w="18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52545F" w14:textId="77777777" w:rsidR="00C55877" w:rsidRDefault="00C55877" w:rsidP="00C55877">
            <w:r>
              <w:t>Tier I (Current)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7BA30B" w14:textId="77777777" w:rsidR="00C55877" w:rsidRDefault="00C55877" w:rsidP="00C55877">
            <w:pPr>
              <w:jc w:val="right"/>
            </w:pPr>
            <w:r>
              <w:t>$25,670,304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2AB15E" w14:textId="77777777" w:rsidR="00C55877" w:rsidRDefault="00C55877" w:rsidP="00C55877">
            <w:pPr>
              <w:jc w:val="right"/>
            </w:pPr>
            <w:r>
              <w:t>$25,670,304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E32ADA" w14:textId="77777777" w:rsidR="00C55877" w:rsidRDefault="00C55877" w:rsidP="00C55877">
            <w:pPr>
              <w:jc w:val="right"/>
            </w:pPr>
            <w:r>
              <w:t>$25,670,304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EFE6E0" w14:textId="77777777" w:rsidR="00C55877" w:rsidRDefault="00C55877" w:rsidP="00C55877">
            <w:pPr>
              <w:jc w:val="right"/>
            </w:pPr>
            <w:r>
              <w:t>$</w:t>
            </w:r>
            <w:r w:rsidRPr="00504133">
              <w:t>77</w:t>
            </w:r>
            <w:r>
              <w:t>,</w:t>
            </w:r>
            <w:r w:rsidRPr="00504133">
              <w:t>010</w:t>
            </w:r>
            <w:r>
              <w:t>,</w:t>
            </w:r>
            <w:r w:rsidRPr="00504133">
              <w:t>912</w:t>
            </w:r>
          </w:p>
        </w:tc>
      </w:tr>
      <w:tr w:rsidR="00C55877" w14:paraId="223A0943" w14:textId="77777777" w:rsidTr="00340A33">
        <w:tc>
          <w:tcPr>
            <w:tcW w:w="1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6438C" w14:textId="77777777" w:rsidR="00C55877" w:rsidRDefault="00C55877" w:rsidP="00C55877">
            <w:r>
              <w:t>Tier III (Proposed)</w:t>
            </w:r>
          </w:p>
        </w:tc>
        <w:tc>
          <w:tcPr>
            <w:tcW w:w="1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A2CD2" w14:textId="77777777" w:rsidR="00C55877" w:rsidRDefault="00C55877" w:rsidP="00C55877">
            <w:pPr>
              <w:jc w:val="right"/>
            </w:pPr>
            <w:r>
              <w:t>$</w:t>
            </w:r>
            <w:r w:rsidRPr="00504133">
              <w:t>60</w:t>
            </w:r>
            <w:r>
              <w:t>,</w:t>
            </w:r>
            <w:r w:rsidRPr="00504133">
              <w:t>670</w:t>
            </w:r>
            <w:r>
              <w:t>,</w:t>
            </w:r>
            <w:r w:rsidRPr="00504133">
              <w:t>304</w:t>
            </w:r>
          </w:p>
        </w:tc>
        <w:tc>
          <w:tcPr>
            <w:tcW w:w="1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661C2" w14:textId="77777777" w:rsidR="00C55877" w:rsidRDefault="00C55877" w:rsidP="00C55877">
            <w:pPr>
              <w:jc w:val="right"/>
            </w:pPr>
            <w:r>
              <w:t>$1,555,776</w:t>
            </w:r>
          </w:p>
        </w:tc>
        <w:tc>
          <w:tcPr>
            <w:tcW w:w="1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137DB" w14:textId="77777777" w:rsidR="00C55877" w:rsidRDefault="00C55877" w:rsidP="00C55877">
            <w:pPr>
              <w:jc w:val="right"/>
            </w:pPr>
            <w:r>
              <w:t>$1,555,776</w:t>
            </w:r>
          </w:p>
        </w:tc>
        <w:tc>
          <w:tcPr>
            <w:tcW w:w="1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88102" w14:textId="77777777" w:rsidR="00C55877" w:rsidRDefault="00C55877" w:rsidP="00C55877">
            <w:pPr>
              <w:jc w:val="right"/>
            </w:pPr>
            <w:r>
              <w:t>$63,781,856</w:t>
            </w:r>
          </w:p>
        </w:tc>
      </w:tr>
      <w:tr w:rsidR="00C55877" w14:paraId="16E13D26" w14:textId="77777777" w:rsidTr="005C6D31"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21985" w14:textId="11FB506C" w:rsidR="00C55877" w:rsidRDefault="00C55877" w:rsidP="00C55877">
            <w:r>
              <w:t>Net Benefit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9D669" w14:textId="77777777" w:rsidR="00C55877" w:rsidRPr="005B535D" w:rsidRDefault="00C55877" w:rsidP="00C55877">
            <w:pPr>
              <w:jc w:val="right"/>
              <w:rPr>
                <w:b/>
              </w:rPr>
            </w:pPr>
            <w:r w:rsidRPr="005B535D">
              <w:rPr>
                <w:b/>
              </w:rPr>
              <w:t>($35,000,000)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364D9" w14:textId="77777777" w:rsidR="00C55877" w:rsidRPr="005C6D31" w:rsidRDefault="00C55877" w:rsidP="00C55877">
            <w:pPr>
              <w:jc w:val="right"/>
              <w:rPr>
                <w:b/>
              </w:rPr>
            </w:pPr>
            <w:r w:rsidRPr="005C6D31">
              <w:rPr>
                <w:b/>
              </w:rPr>
              <w:t>$24,114,528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07F1F" w14:textId="77777777" w:rsidR="00C55877" w:rsidRPr="005C6D31" w:rsidRDefault="00C55877" w:rsidP="00C55877">
            <w:pPr>
              <w:jc w:val="right"/>
              <w:rPr>
                <w:b/>
              </w:rPr>
            </w:pPr>
            <w:r w:rsidRPr="005C6D31">
              <w:rPr>
                <w:b/>
              </w:rPr>
              <w:t>$24,114,528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3999B21" w14:textId="77777777" w:rsidR="00C55877" w:rsidRPr="005C6D31" w:rsidRDefault="00C55877" w:rsidP="00C55877">
            <w:pPr>
              <w:jc w:val="right"/>
              <w:rPr>
                <w:b/>
              </w:rPr>
            </w:pPr>
            <w:r w:rsidRPr="005C6D31">
              <w:rPr>
                <w:b/>
              </w:rPr>
              <w:t>$13,229,056</w:t>
            </w:r>
          </w:p>
        </w:tc>
      </w:tr>
    </w:tbl>
    <w:p w14:paraId="59F38D74" w14:textId="4FF4AF13" w:rsidR="000C2813" w:rsidRDefault="000C2813" w:rsidP="000C2813"/>
    <w:p w14:paraId="4C4CF71F" w14:textId="571328BC" w:rsidR="00FF18DA" w:rsidRDefault="00FF18DA" w:rsidP="008127C6"/>
    <w:p w14:paraId="150E92EF" w14:textId="6B279E1C" w:rsidR="0000776D" w:rsidRDefault="0000776D" w:rsidP="008127C6"/>
    <w:p w14:paraId="69E9765B" w14:textId="3C6E6756" w:rsidR="0000776D" w:rsidRDefault="0000776D" w:rsidP="008127C6"/>
    <w:p w14:paraId="727F25C1" w14:textId="12D86350" w:rsidR="0000776D" w:rsidRDefault="0000776D" w:rsidP="008127C6"/>
    <w:p w14:paraId="1266B3D4" w14:textId="090D9599" w:rsidR="0000776D" w:rsidRDefault="0000776D" w:rsidP="008127C6"/>
    <w:p w14:paraId="6930D04B" w14:textId="10B3B28D" w:rsidR="0000776D" w:rsidRDefault="0000776D" w:rsidP="008127C6"/>
    <w:p w14:paraId="58D594E0" w14:textId="14BD446C" w:rsidR="0000776D" w:rsidRDefault="0000776D" w:rsidP="008127C6"/>
    <w:p w14:paraId="3BF69E0E" w14:textId="7F1A491D" w:rsidR="0000776D" w:rsidRDefault="0000776D" w:rsidP="008127C6"/>
    <w:p w14:paraId="2E73C90F" w14:textId="2AF5111A" w:rsidR="0000776D" w:rsidRDefault="0000776D" w:rsidP="008127C6"/>
    <w:p w14:paraId="169DE552" w14:textId="42732A38" w:rsidR="0000776D" w:rsidRDefault="0000776D" w:rsidP="008127C6"/>
    <w:p w14:paraId="57277F5C" w14:textId="214DBE2C" w:rsidR="0000776D" w:rsidRDefault="0000776D" w:rsidP="008127C6"/>
    <w:p w14:paraId="3E8557FB" w14:textId="1C8D024A" w:rsidR="0000776D" w:rsidRDefault="0000776D" w:rsidP="008127C6"/>
    <w:p w14:paraId="689D9D02" w14:textId="019D448D" w:rsidR="0000776D" w:rsidRDefault="0000776D" w:rsidP="008127C6"/>
    <w:p w14:paraId="095B7B24" w14:textId="158FC41C" w:rsidR="0000776D" w:rsidRDefault="0000776D" w:rsidP="008127C6"/>
    <w:p w14:paraId="4E901A64" w14:textId="77777777" w:rsidR="009C2918" w:rsidRPr="008127C6" w:rsidRDefault="009C2918" w:rsidP="00AD20E1"/>
    <w:sectPr w:rsidR="009C2918" w:rsidRPr="008127C6" w:rsidSect="00097C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0E9F4" w14:textId="77777777" w:rsidR="009E2EDC" w:rsidRDefault="009E2EDC" w:rsidP="000C2813">
      <w:pPr>
        <w:spacing w:after="0" w:line="240" w:lineRule="auto"/>
      </w:pPr>
      <w:r>
        <w:separator/>
      </w:r>
    </w:p>
  </w:endnote>
  <w:endnote w:type="continuationSeparator" w:id="0">
    <w:p w14:paraId="3BE1FEF0" w14:textId="77777777" w:rsidR="009E2EDC" w:rsidRDefault="009E2EDC" w:rsidP="000C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55B67" w14:textId="77777777" w:rsidR="009E2EDC" w:rsidRDefault="009E2EDC" w:rsidP="000C2813">
      <w:pPr>
        <w:spacing w:after="0" w:line="240" w:lineRule="auto"/>
      </w:pPr>
      <w:r>
        <w:separator/>
      </w:r>
    </w:p>
  </w:footnote>
  <w:footnote w:type="continuationSeparator" w:id="0">
    <w:p w14:paraId="6E27DC64" w14:textId="77777777" w:rsidR="009E2EDC" w:rsidRDefault="009E2EDC" w:rsidP="000C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655F" w14:textId="77777777" w:rsidR="000C2813" w:rsidRDefault="000C2813">
    <w:pPr>
      <w:pStyle w:val="Header"/>
    </w:pPr>
    <w:bookmarkStart w:id="1" w:name="_Hlk507595191"/>
    <w:bookmarkStart w:id="2" w:name="_Hlk507595192"/>
    <w:r>
      <w:t>Rohit Pabbi</w:t>
    </w:r>
  </w:p>
  <w:p w14:paraId="3661EC5D" w14:textId="55128BC4" w:rsidR="000C2813" w:rsidRDefault="000C2813">
    <w:pPr>
      <w:pStyle w:val="Header"/>
    </w:pPr>
    <w:r>
      <w:t>MIS 2501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13"/>
    <w:rsid w:val="0000767A"/>
    <w:rsid w:val="0000776D"/>
    <w:rsid w:val="0002303E"/>
    <w:rsid w:val="00030D5D"/>
    <w:rsid w:val="000532AA"/>
    <w:rsid w:val="00097CD7"/>
    <w:rsid w:val="000C2813"/>
    <w:rsid w:val="000E133C"/>
    <w:rsid w:val="000F319D"/>
    <w:rsid w:val="000F42B6"/>
    <w:rsid w:val="00103988"/>
    <w:rsid w:val="00110787"/>
    <w:rsid w:val="00137399"/>
    <w:rsid w:val="001377FD"/>
    <w:rsid w:val="00145817"/>
    <w:rsid w:val="0016079D"/>
    <w:rsid w:val="00161C51"/>
    <w:rsid w:val="00163207"/>
    <w:rsid w:val="001772FB"/>
    <w:rsid w:val="001D1442"/>
    <w:rsid w:val="001D65DC"/>
    <w:rsid w:val="001E16D2"/>
    <w:rsid w:val="0022125B"/>
    <w:rsid w:val="00237070"/>
    <w:rsid w:val="0029536A"/>
    <w:rsid w:val="002D7F1F"/>
    <w:rsid w:val="002F12C8"/>
    <w:rsid w:val="003201F7"/>
    <w:rsid w:val="00331714"/>
    <w:rsid w:val="00340A33"/>
    <w:rsid w:val="00364433"/>
    <w:rsid w:val="00365819"/>
    <w:rsid w:val="003A12D0"/>
    <w:rsid w:val="003F6B3C"/>
    <w:rsid w:val="00461174"/>
    <w:rsid w:val="00476EA2"/>
    <w:rsid w:val="00485E5A"/>
    <w:rsid w:val="00487C76"/>
    <w:rsid w:val="00491022"/>
    <w:rsid w:val="004B279D"/>
    <w:rsid w:val="004B55FC"/>
    <w:rsid w:val="004C2E83"/>
    <w:rsid w:val="00504133"/>
    <w:rsid w:val="0052057F"/>
    <w:rsid w:val="00562A0D"/>
    <w:rsid w:val="00566DAE"/>
    <w:rsid w:val="005A720B"/>
    <w:rsid w:val="005B535D"/>
    <w:rsid w:val="005C12DC"/>
    <w:rsid w:val="005C6D31"/>
    <w:rsid w:val="005D1A0B"/>
    <w:rsid w:val="00604789"/>
    <w:rsid w:val="006138B1"/>
    <w:rsid w:val="006418B2"/>
    <w:rsid w:val="006522DA"/>
    <w:rsid w:val="006532A1"/>
    <w:rsid w:val="00687274"/>
    <w:rsid w:val="0069412D"/>
    <w:rsid w:val="0069421D"/>
    <w:rsid w:val="0069645A"/>
    <w:rsid w:val="0069762C"/>
    <w:rsid w:val="006B3391"/>
    <w:rsid w:val="00704DD3"/>
    <w:rsid w:val="00705886"/>
    <w:rsid w:val="007267F8"/>
    <w:rsid w:val="007404E2"/>
    <w:rsid w:val="00773743"/>
    <w:rsid w:val="007A4011"/>
    <w:rsid w:val="007B577D"/>
    <w:rsid w:val="00800891"/>
    <w:rsid w:val="008127C6"/>
    <w:rsid w:val="00820BAA"/>
    <w:rsid w:val="008228E5"/>
    <w:rsid w:val="00825B3C"/>
    <w:rsid w:val="00837910"/>
    <w:rsid w:val="0084534B"/>
    <w:rsid w:val="0085588A"/>
    <w:rsid w:val="0088697B"/>
    <w:rsid w:val="00897638"/>
    <w:rsid w:val="008B0583"/>
    <w:rsid w:val="008D50C7"/>
    <w:rsid w:val="008E5670"/>
    <w:rsid w:val="008F0569"/>
    <w:rsid w:val="00903B4A"/>
    <w:rsid w:val="0093748D"/>
    <w:rsid w:val="0094237B"/>
    <w:rsid w:val="009C2918"/>
    <w:rsid w:val="009E2EDC"/>
    <w:rsid w:val="009F157D"/>
    <w:rsid w:val="009F63E8"/>
    <w:rsid w:val="00A077DF"/>
    <w:rsid w:val="00A10107"/>
    <w:rsid w:val="00A13CC5"/>
    <w:rsid w:val="00A15FA9"/>
    <w:rsid w:val="00A30304"/>
    <w:rsid w:val="00A34A50"/>
    <w:rsid w:val="00A34DD7"/>
    <w:rsid w:val="00A467A7"/>
    <w:rsid w:val="00A67A44"/>
    <w:rsid w:val="00A84987"/>
    <w:rsid w:val="00A95C5D"/>
    <w:rsid w:val="00AA03D0"/>
    <w:rsid w:val="00AB2B23"/>
    <w:rsid w:val="00AD20E1"/>
    <w:rsid w:val="00AE4CA5"/>
    <w:rsid w:val="00AF5AB1"/>
    <w:rsid w:val="00B2776C"/>
    <w:rsid w:val="00B44656"/>
    <w:rsid w:val="00B47AF5"/>
    <w:rsid w:val="00B52BC5"/>
    <w:rsid w:val="00B663A9"/>
    <w:rsid w:val="00B845E7"/>
    <w:rsid w:val="00BB5146"/>
    <w:rsid w:val="00C00A56"/>
    <w:rsid w:val="00C0262E"/>
    <w:rsid w:val="00C11A10"/>
    <w:rsid w:val="00C17647"/>
    <w:rsid w:val="00C21756"/>
    <w:rsid w:val="00C42FD1"/>
    <w:rsid w:val="00C55877"/>
    <w:rsid w:val="00C678BD"/>
    <w:rsid w:val="00C82F12"/>
    <w:rsid w:val="00CA28BD"/>
    <w:rsid w:val="00CC0138"/>
    <w:rsid w:val="00CC767B"/>
    <w:rsid w:val="00D17A03"/>
    <w:rsid w:val="00D64D90"/>
    <w:rsid w:val="00D85D44"/>
    <w:rsid w:val="00DA1276"/>
    <w:rsid w:val="00DC7181"/>
    <w:rsid w:val="00DE541E"/>
    <w:rsid w:val="00E144FC"/>
    <w:rsid w:val="00E147B0"/>
    <w:rsid w:val="00E602E3"/>
    <w:rsid w:val="00E630EA"/>
    <w:rsid w:val="00E640BD"/>
    <w:rsid w:val="00EB27C2"/>
    <w:rsid w:val="00EB3749"/>
    <w:rsid w:val="00EF16DD"/>
    <w:rsid w:val="00F21D5D"/>
    <w:rsid w:val="00F3124B"/>
    <w:rsid w:val="00F569C7"/>
    <w:rsid w:val="00F57F4E"/>
    <w:rsid w:val="00F60F58"/>
    <w:rsid w:val="00F7062D"/>
    <w:rsid w:val="00FC7170"/>
    <w:rsid w:val="00FD4BFB"/>
    <w:rsid w:val="00FE05A7"/>
    <w:rsid w:val="00FE29F2"/>
    <w:rsid w:val="00FF18DA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68ED8"/>
  <w15:chartTrackingRefBased/>
  <w15:docId w15:val="{F996EEE9-925A-4824-824E-D66811A8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13"/>
  </w:style>
  <w:style w:type="paragraph" w:styleId="Footer">
    <w:name w:val="footer"/>
    <w:basedOn w:val="Normal"/>
    <w:link w:val="FooterChar"/>
    <w:uiPriority w:val="99"/>
    <w:unhideWhenUsed/>
    <w:rsid w:val="000C2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13"/>
  </w:style>
  <w:style w:type="table" w:styleId="TableGrid">
    <w:name w:val="Table Grid"/>
    <w:basedOn w:val="TableNormal"/>
    <w:uiPriority w:val="39"/>
    <w:rsid w:val="000C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953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FF1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8D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9263">
              <w:marLeft w:val="30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880">
              <w:marLeft w:val="30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1133">
              <w:marLeft w:val="30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1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040">
              <w:marLeft w:val="30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8351">
              <w:marLeft w:val="30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yberciti.biz/faq/data-center-standard-overvie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81B7-495B-41A4-9BCA-BC31DC19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Pabbi</dc:creator>
  <cp:keywords/>
  <dc:description/>
  <cp:lastModifiedBy>Rohit Pabbi</cp:lastModifiedBy>
  <cp:revision>4</cp:revision>
  <cp:lastPrinted>2018-02-28T20:48:00Z</cp:lastPrinted>
  <dcterms:created xsi:type="dcterms:W3CDTF">2018-02-28T21:01:00Z</dcterms:created>
  <dcterms:modified xsi:type="dcterms:W3CDTF">2018-04-25T19:47:00Z</dcterms:modified>
</cp:coreProperties>
</file>