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9092" w14:textId="41CCC4F9" w:rsidR="00580C90" w:rsidRPr="000C5363" w:rsidRDefault="000F632D" w:rsidP="00FA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363">
        <w:rPr>
          <w:rFonts w:ascii="Times New Roman" w:hAnsi="Times New Roman" w:cs="Times New Roman"/>
          <w:sz w:val="24"/>
          <w:szCs w:val="24"/>
        </w:rPr>
        <w:t xml:space="preserve">Flash Research </w:t>
      </w:r>
      <w:r w:rsidR="00FA40D8" w:rsidRPr="000C5363">
        <w:rPr>
          <w:rFonts w:ascii="Times New Roman" w:hAnsi="Times New Roman" w:cs="Times New Roman"/>
          <w:sz w:val="24"/>
          <w:szCs w:val="24"/>
        </w:rPr>
        <w:t>Assignment: WordPress</w:t>
      </w:r>
    </w:p>
    <w:p w14:paraId="4F60E012" w14:textId="77777777" w:rsidR="00975A17" w:rsidRPr="00647C05" w:rsidRDefault="00975A17" w:rsidP="00187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EE557E" w14:textId="43EDAA97" w:rsidR="00580C90" w:rsidRPr="000C5363" w:rsidRDefault="00CF640A" w:rsidP="0044240F">
      <w:pPr>
        <w:spacing w:line="480" w:lineRule="auto"/>
        <w:ind w:firstLine="720"/>
        <w:rPr>
          <w:rFonts w:ascii="Times New Roman" w:hAnsi="Times New Roman" w:cs="Times New Roman"/>
        </w:rPr>
      </w:pPr>
      <w:r w:rsidRPr="000C5363">
        <w:rPr>
          <w:rFonts w:ascii="Times New Roman" w:hAnsi="Times New Roman" w:cs="Times New Roman"/>
        </w:rPr>
        <w:t>Our financial services organization</w:t>
      </w:r>
      <w:r w:rsidR="00507C78" w:rsidRPr="000C5363">
        <w:rPr>
          <w:rFonts w:ascii="Times New Roman" w:hAnsi="Times New Roman" w:cs="Times New Roman"/>
        </w:rPr>
        <w:t xml:space="preserve"> </w:t>
      </w:r>
      <w:r w:rsidR="00187057" w:rsidRPr="000C5363">
        <w:rPr>
          <w:rFonts w:ascii="Times New Roman" w:hAnsi="Times New Roman" w:cs="Times New Roman"/>
        </w:rPr>
        <w:t xml:space="preserve">can have a net benefit of </w:t>
      </w:r>
      <w:r w:rsidRPr="000C5363">
        <w:rPr>
          <w:rFonts w:ascii="Times New Roman" w:hAnsi="Times New Roman" w:cs="Times New Roman"/>
        </w:rPr>
        <w:t>$2,451,000</w:t>
      </w:r>
      <w:r w:rsidR="00AA724A" w:rsidRPr="000C5363">
        <w:rPr>
          <w:rFonts w:ascii="Times New Roman" w:hAnsi="Times New Roman" w:cs="Times New Roman"/>
        </w:rPr>
        <w:t xml:space="preserve"> </w:t>
      </w:r>
      <w:r w:rsidR="00187057" w:rsidRPr="000C5363">
        <w:rPr>
          <w:rFonts w:ascii="Times New Roman" w:hAnsi="Times New Roman" w:cs="Times New Roman"/>
        </w:rPr>
        <w:t xml:space="preserve">over a period of three years by utilizing </w:t>
      </w:r>
      <w:r w:rsidRPr="000C5363">
        <w:rPr>
          <w:rFonts w:ascii="Times New Roman" w:hAnsi="Times New Roman" w:cs="Times New Roman"/>
        </w:rPr>
        <w:t>WordPress</w:t>
      </w:r>
      <w:r w:rsidR="00187057" w:rsidRPr="000C5363">
        <w:rPr>
          <w:rFonts w:ascii="Times New Roman" w:hAnsi="Times New Roman" w:cs="Times New Roman"/>
        </w:rPr>
        <w:t>.</w:t>
      </w:r>
      <w:r w:rsidR="00CE2D77" w:rsidRPr="000C5363">
        <w:rPr>
          <w:rFonts w:ascii="Times New Roman" w:hAnsi="Times New Roman" w:cs="Times New Roman"/>
        </w:rPr>
        <w:t xml:space="preserve"> </w:t>
      </w:r>
      <w:r w:rsidR="00E652D5" w:rsidRPr="000C5363">
        <w:rPr>
          <w:rFonts w:ascii="Times New Roman" w:hAnsi="Times New Roman" w:cs="Times New Roman"/>
        </w:rPr>
        <w:t>WordPress</w:t>
      </w:r>
      <w:r w:rsidR="0029700D" w:rsidRPr="000C5363">
        <w:rPr>
          <w:rFonts w:ascii="Times New Roman" w:hAnsi="Times New Roman" w:cs="Times New Roman"/>
        </w:rPr>
        <w:t xml:space="preserve"> </w:t>
      </w:r>
      <w:r w:rsidR="00F21162" w:rsidRPr="000C5363">
        <w:rPr>
          <w:rFonts w:ascii="Times New Roman" w:hAnsi="Times New Roman" w:cs="Times New Roman"/>
        </w:rPr>
        <w:t xml:space="preserve">is </w:t>
      </w:r>
      <w:r w:rsidR="00954D1D" w:rsidRPr="000C5363">
        <w:rPr>
          <w:rFonts w:ascii="Times New Roman" w:hAnsi="Times New Roman" w:cs="Times New Roman"/>
        </w:rPr>
        <w:t>an</w:t>
      </w:r>
      <w:r w:rsidR="00F21162" w:rsidRPr="000C5363">
        <w:rPr>
          <w:rFonts w:ascii="Times New Roman" w:hAnsi="Times New Roman" w:cs="Times New Roman"/>
        </w:rPr>
        <w:t xml:space="preserve"> online website creation tool</w:t>
      </w:r>
      <w:r w:rsidR="00954D1D" w:rsidRPr="000C5363">
        <w:rPr>
          <w:rFonts w:ascii="Times New Roman" w:hAnsi="Times New Roman" w:cs="Times New Roman"/>
        </w:rPr>
        <w:t xml:space="preserve"> </w:t>
      </w:r>
      <w:r w:rsidR="00627005" w:rsidRPr="000C5363">
        <w:rPr>
          <w:rFonts w:ascii="Times New Roman" w:hAnsi="Times New Roman" w:cs="Times New Roman"/>
        </w:rPr>
        <w:t xml:space="preserve">preinstalled </w:t>
      </w:r>
      <w:r w:rsidR="00954D1D" w:rsidRPr="000C5363">
        <w:rPr>
          <w:rFonts w:ascii="Times New Roman" w:hAnsi="Times New Roman" w:cs="Times New Roman"/>
        </w:rPr>
        <w:t>with plugins and widgets</w:t>
      </w:r>
      <w:r w:rsidR="00F21162" w:rsidRPr="000C5363">
        <w:rPr>
          <w:rFonts w:ascii="Times New Roman" w:hAnsi="Times New Roman" w:cs="Times New Roman"/>
        </w:rPr>
        <w:t xml:space="preserve"> that </w:t>
      </w:r>
      <w:r w:rsidR="0029700D" w:rsidRPr="000C5363">
        <w:rPr>
          <w:rFonts w:ascii="Times New Roman" w:hAnsi="Times New Roman" w:cs="Times New Roman"/>
        </w:rPr>
        <w:t>will</w:t>
      </w:r>
      <w:r w:rsidR="00CE2D77" w:rsidRPr="000C5363">
        <w:rPr>
          <w:rFonts w:ascii="Times New Roman" w:hAnsi="Times New Roman" w:cs="Times New Roman"/>
        </w:rPr>
        <w:t xml:space="preserve"> </w:t>
      </w:r>
      <w:r w:rsidR="00CB596F" w:rsidRPr="000C5363">
        <w:rPr>
          <w:rFonts w:ascii="Times New Roman" w:hAnsi="Times New Roman" w:cs="Times New Roman"/>
        </w:rPr>
        <w:t xml:space="preserve">allow </w:t>
      </w:r>
      <w:r w:rsidR="00F21162" w:rsidRPr="000C5363">
        <w:rPr>
          <w:rFonts w:ascii="Times New Roman" w:hAnsi="Times New Roman" w:cs="Times New Roman"/>
        </w:rPr>
        <w:t xml:space="preserve">the </w:t>
      </w:r>
      <w:r w:rsidR="00E652D5" w:rsidRPr="000C5363">
        <w:rPr>
          <w:rFonts w:ascii="Times New Roman" w:hAnsi="Times New Roman" w:cs="Times New Roman"/>
        </w:rPr>
        <w:t>work currently being done by our Web Development team to be done much more efficiently</w:t>
      </w:r>
      <w:r w:rsidR="00CE2D77" w:rsidRPr="000C5363">
        <w:rPr>
          <w:rFonts w:ascii="Times New Roman" w:hAnsi="Times New Roman" w:cs="Times New Roman"/>
        </w:rPr>
        <w:t>.</w:t>
      </w:r>
      <w:r w:rsidR="00F759F4" w:rsidRPr="000C5363">
        <w:rPr>
          <w:rFonts w:ascii="Times New Roman" w:hAnsi="Times New Roman" w:cs="Times New Roman"/>
        </w:rPr>
        <w:t xml:space="preserve"> </w:t>
      </w:r>
      <w:r w:rsidR="00B1532A" w:rsidRPr="000C5363">
        <w:rPr>
          <w:rFonts w:ascii="Times New Roman" w:hAnsi="Times New Roman" w:cs="Times New Roman"/>
        </w:rPr>
        <w:t>This will reduce our total number of developers on our Web Development team</w:t>
      </w:r>
      <w:r w:rsidR="00A62897" w:rsidRPr="000C5363">
        <w:rPr>
          <w:rFonts w:ascii="Times New Roman" w:hAnsi="Times New Roman" w:cs="Times New Roman"/>
        </w:rPr>
        <w:t xml:space="preserve"> from twelve</w:t>
      </w:r>
      <w:r w:rsidR="00B1532A" w:rsidRPr="000C5363">
        <w:rPr>
          <w:rFonts w:ascii="Times New Roman" w:hAnsi="Times New Roman" w:cs="Times New Roman"/>
        </w:rPr>
        <w:t xml:space="preserve"> to five. </w:t>
      </w:r>
      <w:r w:rsidR="005612F9" w:rsidRPr="000C5363">
        <w:rPr>
          <w:rFonts w:ascii="Times New Roman" w:hAnsi="Times New Roman" w:cs="Times New Roman"/>
        </w:rPr>
        <w:t>W</w:t>
      </w:r>
      <w:r w:rsidR="00AD2B89" w:rsidRPr="000C5363">
        <w:rPr>
          <w:rFonts w:ascii="Times New Roman" w:hAnsi="Times New Roman" w:cs="Times New Roman"/>
        </w:rPr>
        <w:t xml:space="preserve">e </w:t>
      </w:r>
      <w:r w:rsidR="005612F9" w:rsidRPr="000C5363">
        <w:rPr>
          <w:rFonts w:ascii="Times New Roman" w:hAnsi="Times New Roman" w:cs="Times New Roman"/>
        </w:rPr>
        <w:t xml:space="preserve">should </w:t>
      </w:r>
      <w:r w:rsidR="00500D5E" w:rsidRPr="000C5363">
        <w:rPr>
          <w:rFonts w:ascii="Times New Roman" w:hAnsi="Times New Roman" w:cs="Times New Roman"/>
        </w:rPr>
        <w:t>invest in</w:t>
      </w:r>
      <w:r w:rsidR="005312BA" w:rsidRPr="000C5363">
        <w:rPr>
          <w:rFonts w:ascii="Times New Roman" w:hAnsi="Times New Roman" w:cs="Times New Roman"/>
        </w:rPr>
        <w:t xml:space="preserve"> </w:t>
      </w:r>
      <w:r w:rsidR="00E652D5" w:rsidRPr="000C5363">
        <w:rPr>
          <w:rFonts w:ascii="Times New Roman" w:hAnsi="Times New Roman" w:cs="Times New Roman"/>
        </w:rPr>
        <w:t xml:space="preserve">WordPress </w:t>
      </w:r>
      <w:r w:rsidR="005312BA" w:rsidRPr="000C5363">
        <w:rPr>
          <w:rFonts w:ascii="Times New Roman" w:hAnsi="Times New Roman" w:cs="Times New Roman"/>
        </w:rPr>
        <w:t>to</w:t>
      </w:r>
      <w:r w:rsidR="002F2F94" w:rsidRPr="000C5363">
        <w:rPr>
          <w:rFonts w:ascii="Times New Roman" w:hAnsi="Times New Roman" w:cs="Times New Roman"/>
        </w:rPr>
        <w:t xml:space="preserve"> </w:t>
      </w:r>
      <w:r w:rsidR="00500D5E" w:rsidRPr="000C5363">
        <w:rPr>
          <w:rFonts w:ascii="Times New Roman" w:hAnsi="Times New Roman" w:cs="Times New Roman"/>
        </w:rPr>
        <w:t>increase the efficiency of our Web Development team.</w:t>
      </w:r>
    </w:p>
    <w:p w14:paraId="616429F9" w14:textId="1D20538B" w:rsidR="00FE70A0" w:rsidRPr="000C5363" w:rsidRDefault="00556694" w:rsidP="0044240F">
      <w:pPr>
        <w:spacing w:line="480" w:lineRule="auto"/>
        <w:ind w:firstLine="720"/>
        <w:rPr>
          <w:rFonts w:ascii="Times New Roman" w:hAnsi="Times New Roman" w:cs="Times New Roman"/>
        </w:rPr>
      </w:pPr>
      <w:r w:rsidRPr="000C5363">
        <w:rPr>
          <w:rFonts w:ascii="Times New Roman" w:hAnsi="Times New Roman" w:cs="Times New Roman"/>
        </w:rPr>
        <w:t xml:space="preserve">WordPress is an open source content management system </w:t>
      </w:r>
      <w:r w:rsidR="002E0A6B" w:rsidRPr="000C5363">
        <w:rPr>
          <w:rFonts w:ascii="Times New Roman" w:hAnsi="Times New Roman" w:cs="Times New Roman"/>
        </w:rPr>
        <w:t xml:space="preserve">with the key capability of </w:t>
      </w:r>
      <w:r w:rsidRPr="000C5363">
        <w:rPr>
          <w:rFonts w:ascii="Times New Roman" w:hAnsi="Times New Roman" w:cs="Times New Roman"/>
        </w:rPr>
        <w:t xml:space="preserve">customizability for our developers to </w:t>
      </w:r>
      <w:r w:rsidR="00CC37D5" w:rsidRPr="000C5363">
        <w:rPr>
          <w:rFonts w:ascii="Times New Roman" w:hAnsi="Times New Roman" w:cs="Times New Roman"/>
        </w:rPr>
        <w:t>create, edit, and publish content to increase efficiency</w:t>
      </w:r>
      <w:r w:rsidRPr="000C5363">
        <w:rPr>
          <w:rFonts w:ascii="Times New Roman" w:hAnsi="Times New Roman" w:cs="Times New Roman"/>
        </w:rPr>
        <w:t xml:space="preserve">. </w:t>
      </w:r>
      <w:r w:rsidR="004246BB" w:rsidRPr="000C5363">
        <w:rPr>
          <w:rFonts w:ascii="Times New Roman" w:hAnsi="Times New Roman" w:cs="Times New Roman"/>
        </w:rPr>
        <w:t xml:space="preserve">WordPress can be installed on our current web server in 5 minutes and our developers can use a simple editor to create or edit web pages without having to code. </w:t>
      </w:r>
      <w:r w:rsidRPr="000C5363">
        <w:rPr>
          <w:rFonts w:ascii="Times New Roman" w:hAnsi="Times New Roman" w:cs="Times New Roman"/>
        </w:rPr>
        <w:t xml:space="preserve">Developers will have access to </w:t>
      </w:r>
      <w:r w:rsidR="00B20050" w:rsidRPr="000C5363">
        <w:rPr>
          <w:rFonts w:ascii="Times New Roman" w:hAnsi="Times New Roman" w:cs="Times New Roman"/>
        </w:rPr>
        <w:t xml:space="preserve">2,600+ </w:t>
      </w:r>
      <w:r w:rsidR="00A62897" w:rsidRPr="000C5363">
        <w:rPr>
          <w:rFonts w:ascii="Times New Roman" w:hAnsi="Times New Roman" w:cs="Times New Roman"/>
        </w:rPr>
        <w:t>customizable</w:t>
      </w:r>
      <w:r w:rsidRPr="000C5363">
        <w:rPr>
          <w:rFonts w:ascii="Times New Roman" w:hAnsi="Times New Roman" w:cs="Times New Roman"/>
        </w:rPr>
        <w:t xml:space="preserve"> templates and </w:t>
      </w:r>
      <w:r w:rsidR="00B20050" w:rsidRPr="000C5363">
        <w:rPr>
          <w:rFonts w:ascii="Times New Roman" w:hAnsi="Times New Roman" w:cs="Times New Roman"/>
        </w:rPr>
        <w:t xml:space="preserve">31,000+ </w:t>
      </w:r>
      <w:r w:rsidRPr="000C5363">
        <w:rPr>
          <w:rFonts w:ascii="Times New Roman" w:hAnsi="Times New Roman" w:cs="Times New Roman"/>
        </w:rPr>
        <w:t>plugins</w:t>
      </w:r>
      <w:r w:rsidR="00B20050" w:rsidRPr="000C5363">
        <w:rPr>
          <w:rFonts w:ascii="Times New Roman" w:hAnsi="Times New Roman" w:cs="Times New Roman"/>
        </w:rPr>
        <w:t xml:space="preserve"> </w:t>
      </w:r>
      <w:r w:rsidRPr="000C5363">
        <w:rPr>
          <w:rFonts w:ascii="Times New Roman" w:hAnsi="Times New Roman" w:cs="Times New Roman"/>
        </w:rPr>
        <w:t xml:space="preserve">to </w:t>
      </w:r>
      <w:r w:rsidR="00CC37D5" w:rsidRPr="000C5363">
        <w:rPr>
          <w:rFonts w:ascii="Times New Roman" w:hAnsi="Times New Roman" w:cs="Times New Roman"/>
        </w:rPr>
        <w:t>design their website.</w:t>
      </w:r>
      <w:r w:rsidR="00B20050" w:rsidRPr="000C5363">
        <w:rPr>
          <w:rFonts w:ascii="Times New Roman" w:hAnsi="Times New Roman" w:cs="Times New Roman"/>
        </w:rPr>
        <w:t xml:space="preserve"> </w:t>
      </w:r>
      <w:r w:rsidR="0039375C" w:rsidRPr="000C5363">
        <w:rPr>
          <w:rFonts w:ascii="Times New Roman" w:hAnsi="Times New Roman" w:cs="Times New Roman"/>
        </w:rPr>
        <w:t>For example, our developers can choose from one of the</w:t>
      </w:r>
      <w:r w:rsidR="00BF360F" w:rsidRPr="000C5363">
        <w:rPr>
          <w:rFonts w:ascii="Times New Roman" w:hAnsi="Times New Roman" w:cs="Times New Roman"/>
        </w:rPr>
        <w:t>se</w:t>
      </w:r>
      <w:r w:rsidR="0039375C" w:rsidRPr="000C5363">
        <w:rPr>
          <w:rFonts w:ascii="Times New Roman" w:hAnsi="Times New Roman" w:cs="Times New Roman"/>
        </w:rPr>
        <w:t xml:space="preserve"> customizable templates </w:t>
      </w:r>
      <w:r w:rsidR="007B7283" w:rsidRPr="000C5363">
        <w:rPr>
          <w:rFonts w:ascii="Times New Roman" w:hAnsi="Times New Roman" w:cs="Times New Roman"/>
        </w:rPr>
        <w:t>to start designing</w:t>
      </w:r>
      <w:r w:rsidR="0039375C" w:rsidRPr="000C5363">
        <w:rPr>
          <w:rFonts w:ascii="Times New Roman" w:hAnsi="Times New Roman" w:cs="Times New Roman"/>
        </w:rPr>
        <w:t xml:space="preserve"> their website instead of having to code from scratch. </w:t>
      </w:r>
      <w:r w:rsidR="00B20050" w:rsidRPr="000C5363">
        <w:rPr>
          <w:rFonts w:ascii="Times New Roman" w:hAnsi="Times New Roman" w:cs="Times New Roman"/>
        </w:rPr>
        <w:t>Developers can</w:t>
      </w:r>
      <w:r w:rsidR="00EA2378" w:rsidRPr="000C5363">
        <w:rPr>
          <w:rFonts w:ascii="Times New Roman" w:hAnsi="Times New Roman" w:cs="Times New Roman"/>
        </w:rPr>
        <w:t xml:space="preserve"> also</w:t>
      </w:r>
      <w:r w:rsidR="00B20050" w:rsidRPr="000C5363">
        <w:rPr>
          <w:rFonts w:ascii="Times New Roman" w:hAnsi="Times New Roman" w:cs="Times New Roman"/>
        </w:rPr>
        <w:t xml:space="preserve"> view and modify the source code of these </w:t>
      </w:r>
      <w:r w:rsidR="00EA2378" w:rsidRPr="000C5363">
        <w:rPr>
          <w:rFonts w:ascii="Times New Roman" w:hAnsi="Times New Roman" w:cs="Times New Roman"/>
        </w:rPr>
        <w:t xml:space="preserve">templates and </w:t>
      </w:r>
      <w:r w:rsidR="00B20050" w:rsidRPr="000C5363">
        <w:rPr>
          <w:rFonts w:ascii="Times New Roman" w:hAnsi="Times New Roman" w:cs="Times New Roman"/>
        </w:rPr>
        <w:t>plugins</w:t>
      </w:r>
      <w:r w:rsidR="00227763" w:rsidRPr="000C5363">
        <w:rPr>
          <w:rFonts w:ascii="Times New Roman" w:hAnsi="Times New Roman" w:cs="Times New Roman"/>
        </w:rPr>
        <w:t xml:space="preserve"> </w:t>
      </w:r>
      <w:r w:rsidR="00B20050" w:rsidRPr="000C5363">
        <w:rPr>
          <w:rFonts w:ascii="Times New Roman" w:hAnsi="Times New Roman" w:cs="Times New Roman"/>
        </w:rPr>
        <w:t xml:space="preserve">to </w:t>
      </w:r>
      <w:r w:rsidR="00885EEF" w:rsidRPr="000C5363">
        <w:rPr>
          <w:rFonts w:ascii="Times New Roman" w:hAnsi="Times New Roman" w:cs="Times New Roman"/>
        </w:rPr>
        <w:t>verify and make sure they function properly</w:t>
      </w:r>
      <w:r w:rsidR="00A81F76" w:rsidRPr="000C5363">
        <w:rPr>
          <w:rFonts w:ascii="Times New Roman" w:hAnsi="Times New Roman" w:cs="Times New Roman"/>
        </w:rPr>
        <w:t>.</w:t>
      </w:r>
      <w:r w:rsidR="00BD545C" w:rsidRPr="000C5363">
        <w:rPr>
          <w:rFonts w:ascii="Times New Roman" w:hAnsi="Times New Roman" w:cs="Times New Roman"/>
        </w:rPr>
        <w:t xml:space="preserve"> </w:t>
      </w:r>
      <w:r w:rsidR="008856FE" w:rsidRPr="000C5363">
        <w:rPr>
          <w:rFonts w:ascii="Times New Roman" w:hAnsi="Times New Roman" w:cs="Times New Roman"/>
        </w:rPr>
        <w:t xml:space="preserve">Currently, it takes </w:t>
      </w:r>
      <w:proofErr w:type="gramStart"/>
      <w:r w:rsidR="008856FE" w:rsidRPr="000C5363">
        <w:rPr>
          <w:rFonts w:ascii="Times New Roman" w:hAnsi="Times New Roman" w:cs="Times New Roman"/>
        </w:rPr>
        <w:t>a developer 100 hours</w:t>
      </w:r>
      <w:proofErr w:type="gramEnd"/>
      <w:r w:rsidR="008856FE" w:rsidRPr="000C5363">
        <w:rPr>
          <w:rFonts w:ascii="Times New Roman" w:hAnsi="Times New Roman" w:cs="Times New Roman"/>
        </w:rPr>
        <w:t xml:space="preserve"> to complete a task, but it will only take 22.2 hours to complete using WordPress</w:t>
      </w:r>
      <w:r w:rsidR="003D4EDA" w:rsidRPr="000C5363">
        <w:rPr>
          <w:rFonts w:ascii="Times New Roman" w:hAnsi="Times New Roman" w:cs="Times New Roman"/>
        </w:rPr>
        <w:t xml:space="preserve"> which will</w:t>
      </w:r>
      <w:r w:rsidR="008856FE" w:rsidRPr="000C5363">
        <w:rPr>
          <w:rFonts w:ascii="Times New Roman" w:hAnsi="Times New Roman" w:cs="Times New Roman"/>
        </w:rPr>
        <w:t xml:space="preserve"> giv</w:t>
      </w:r>
      <w:r w:rsidR="003D4EDA" w:rsidRPr="000C5363">
        <w:rPr>
          <w:rFonts w:ascii="Times New Roman" w:hAnsi="Times New Roman" w:cs="Times New Roman"/>
        </w:rPr>
        <w:t>e</w:t>
      </w:r>
      <w:r w:rsidR="008856FE" w:rsidRPr="000C5363">
        <w:rPr>
          <w:rFonts w:ascii="Times New Roman" w:hAnsi="Times New Roman" w:cs="Times New Roman"/>
        </w:rPr>
        <w:t xml:space="preserve"> a 77.8% improvement in efficiency. </w:t>
      </w:r>
      <w:r w:rsidR="0060211C" w:rsidRPr="000C5363">
        <w:rPr>
          <w:rFonts w:ascii="Times New Roman" w:hAnsi="Times New Roman" w:cs="Times New Roman"/>
        </w:rPr>
        <w:t xml:space="preserve">After implementing WordPress, we will </w:t>
      </w:r>
      <w:r w:rsidR="00620447" w:rsidRPr="000C5363">
        <w:rPr>
          <w:rFonts w:ascii="Times New Roman" w:hAnsi="Times New Roman" w:cs="Times New Roman"/>
        </w:rPr>
        <w:t>be able to reduce</w:t>
      </w:r>
      <w:r w:rsidR="0060211C" w:rsidRPr="000C5363">
        <w:rPr>
          <w:rFonts w:ascii="Times New Roman" w:hAnsi="Times New Roman" w:cs="Times New Roman"/>
        </w:rPr>
        <w:t xml:space="preserve"> </w:t>
      </w:r>
      <w:r w:rsidR="00620447" w:rsidRPr="000C5363">
        <w:rPr>
          <w:rFonts w:ascii="Times New Roman" w:hAnsi="Times New Roman" w:cs="Times New Roman"/>
        </w:rPr>
        <w:t xml:space="preserve">our </w:t>
      </w:r>
      <w:r w:rsidR="0060211C" w:rsidRPr="000C5363">
        <w:rPr>
          <w:rFonts w:ascii="Times New Roman" w:hAnsi="Times New Roman" w:cs="Times New Roman"/>
        </w:rPr>
        <w:t>Web Development team</w:t>
      </w:r>
      <w:r w:rsidR="00620447" w:rsidRPr="000C5363">
        <w:rPr>
          <w:rFonts w:ascii="Times New Roman" w:hAnsi="Times New Roman" w:cs="Times New Roman"/>
        </w:rPr>
        <w:t xml:space="preserve"> to five developers</w:t>
      </w:r>
      <w:r w:rsidR="0060211C" w:rsidRPr="000C5363">
        <w:rPr>
          <w:rFonts w:ascii="Times New Roman" w:hAnsi="Times New Roman" w:cs="Times New Roman"/>
        </w:rPr>
        <w:t xml:space="preserve"> due to the increase in efficiency</w:t>
      </w:r>
      <w:r w:rsidR="00EB7F83" w:rsidRPr="000C5363">
        <w:rPr>
          <w:rFonts w:ascii="Times New Roman" w:hAnsi="Times New Roman" w:cs="Times New Roman"/>
        </w:rPr>
        <w:t>.</w:t>
      </w:r>
      <w:r w:rsidR="0060211C" w:rsidRPr="000C5363">
        <w:rPr>
          <w:rFonts w:ascii="Times New Roman" w:hAnsi="Times New Roman" w:cs="Times New Roman"/>
        </w:rPr>
        <w:t xml:space="preserve"> </w:t>
      </w:r>
    </w:p>
    <w:p w14:paraId="0B7D1059" w14:textId="184B7FCF" w:rsidR="00580C90" w:rsidRPr="000C5363" w:rsidRDefault="00A23072" w:rsidP="00E43031">
      <w:pPr>
        <w:spacing w:line="480" w:lineRule="auto"/>
        <w:ind w:firstLine="720"/>
        <w:rPr>
          <w:rFonts w:ascii="Times New Roman" w:hAnsi="Times New Roman" w:cs="Times New Roman"/>
        </w:rPr>
      </w:pPr>
      <w:r w:rsidRPr="000C5363">
        <w:rPr>
          <w:rFonts w:ascii="Times New Roman" w:hAnsi="Times New Roman" w:cs="Times New Roman"/>
        </w:rPr>
        <w:t xml:space="preserve">To utilize </w:t>
      </w:r>
      <w:r w:rsidR="00FA40D8" w:rsidRPr="000C5363">
        <w:rPr>
          <w:rFonts w:ascii="Times New Roman" w:hAnsi="Times New Roman" w:cs="Times New Roman"/>
        </w:rPr>
        <w:t>WordPress</w:t>
      </w:r>
      <w:r w:rsidRPr="000C5363">
        <w:rPr>
          <w:rFonts w:ascii="Times New Roman" w:hAnsi="Times New Roman" w:cs="Times New Roman"/>
        </w:rPr>
        <w:t>, i</w:t>
      </w:r>
      <w:r w:rsidR="00167DE6" w:rsidRPr="000C5363">
        <w:rPr>
          <w:rFonts w:ascii="Times New Roman" w:hAnsi="Times New Roman" w:cs="Times New Roman"/>
        </w:rPr>
        <w:t xml:space="preserve">t will cost our company </w:t>
      </w:r>
      <w:r w:rsidR="008E3584" w:rsidRPr="000C5363">
        <w:rPr>
          <w:rFonts w:ascii="Times New Roman" w:hAnsi="Times New Roman" w:cs="Times New Roman"/>
        </w:rPr>
        <w:t>$174,000</w:t>
      </w:r>
      <w:r w:rsidR="00BB23F9" w:rsidRPr="000C5363">
        <w:rPr>
          <w:rFonts w:ascii="Times New Roman" w:hAnsi="Times New Roman" w:cs="Times New Roman"/>
        </w:rPr>
        <w:t xml:space="preserve"> </w:t>
      </w:r>
      <w:r w:rsidR="00167DE6" w:rsidRPr="000C5363">
        <w:rPr>
          <w:rFonts w:ascii="Times New Roman" w:hAnsi="Times New Roman" w:cs="Times New Roman"/>
        </w:rPr>
        <w:t>over three years</w:t>
      </w:r>
      <w:r w:rsidR="00BB23F9" w:rsidRPr="000C5363">
        <w:rPr>
          <w:rFonts w:ascii="Times New Roman" w:hAnsi="Times New Roman" w:cs="Times New Roman"/>
        </w:rPr>
        <w:t>,</w:t>
      </w:r>
      <w:r w:rsidR="00167DE6" w:rsidRPr="000C5363">
        <w:rPr>
          <w:rFonts w:ascii="Times New Roman" w:hAnsi="Times New Roman" w:cs="Times New Roman"/>
        </w:rPr>
        <w:t xml:space="preserve"> </w:t>
      </w:r>
      <w:r w:rsidR="002426AA" w:rsidRPr="000C5363">
        <w:rPr>
          <w:rFonts w:ascii="Times New Roman" w:hAnsi="Times New Roman" w:cs="Times New Roman"/>
        </w:rPr>
        <w:t>which includes the purchase</w:t>
      </w:r>
      <w:r w:rsidR="00A77E37" w:rsidRPr="000C5363">
        <w:rPr>
          <w:rFonts w:ascii="Times New Roman" w:hAnsi="Times New Roman" w:cs="Times New Roman"/>
        </w:rPr>
        <w:t xml:space="preserve"> </w:t>
      </w:r>
      <w:r w:rsidR="00BB23F9" w:rsidRPr="000C5363">
        <w:rPr>
          <w:rFonts w:ascii="Times New Roman" w:hAnsi="Times New Roman" w:cs="Times New Roman"/>
        </w:rPr>
        <w:t xml:space="preserve">of </w:t>
      </w:r>
      <w:r w:rsidR="008E3584" w:rsidRPr="000C5363">
        <w:rPr>
          <w:rFonts w:ascii="Times New Roman" w:hAnsi="Times New Roman" w:cs="Times New Roman"/>
        </w:rPr>
        <w:t xml:space="preserve">the hardware and system software, maintenance agreement, and loss </w:t>
      </w:r>
      <w:r w:rsidR="004245FA" w:rsidRPr="000C5363">
        <w:rPr>
          <w:rFonts w:ascii="Times New Roman" w:hAnsi="Times New Roman" w:cs="Times New Roman"/>
        </w:rPr>
        <w:t>of</w:t>
      </w:r>
      <w:r w:rsidR="008E3584" w:rsidRPr="000C5363">
        <w:rPr>
          <w:rFonts w:ascii="Times New Roman" w:hAnsi="Times New Roman" w:cs="Times New Roman"/>
        </w:rPr>
        <w:t xml:space="preserve"> productivity.</w:t>
      </w:r>
      <w:r w:rsidR="00BB23F9" w:rsidRPr="000C5363">
        <w:rPr>
          <w:rFonts w:ascii="Times New Roman" w:hAnsi="Times New Roman" w:cs="Times New Roman"/>
        </w:rPr>
        <w:t xml:space="preserve"> </w:t>
      </w:r>
      <w:r w:rsidR="008E3584" w:rsidRPr="000C5363">
        <w:rPr>
          <w:rFonts w:ascii="Times New Roman" w:hAnsi="Times New Roman" w:cs="Times New Roman"/>
        </w:rPr>
        <w:t xml:space="preserve">It </w:t>
      </w:r>
      <w:r w:rsidR="00167DE6" w:rsidRPr="000C5363">
        <w:rPr>
          <w:rFonts w:ascii="Times New Roman" w:hAnsi="Times New Roman" w:cs="Times New Roman"/>
        </w:rPr>
        <w:t xml:space="preserve">will provide a </w:t>
      </w:r>
      <w:r w:rsidR="005F4496" w:rsidRPr="000C5363">
        <w:rPr>
          <w:rFonts w:ascii="Times New Roman" w:hAnsi="Times New Roman" w:cs="Times New Roman"/>
        </w:rPr>
        <w:t xml:space="preserve">three-year </w:t>
      </w:r>
      <w:r w:rsidR="00167DE6" w:rsidRPr="000C5363">
        <w:rPr>
          <w:rFonts w:ascii="Times New Roman" w:hAnsi="Times New Roman" w:cs="Times New Roman"/>
        </w:rPr>
        <w:t xml:space="preserve">benefit of </w:t>
      </w:r>
      <w:r w:rsidR="0069121C" w:rsidRPr="000C5363">
        <w:rPr>
          <w:rFonts w:ascii="Times New Roman" w:hAnsi="Times New Roman" w:cs="Times New Roman"/>
        </w:rPr>
        <w:t>$2,625,000</w:t>
      </w:r>
      <w:r w:rsidR="00167DE6" w:rsidRPr="000C5363">
        <w:rPr>
          <w:rFonts w:ascii="Times New Roman" w:hAnsi="Times New Roman" w:cs="Times New Roman"/>
        </w:rPr>
        <w:t xml:space="preserve">. This will give our company a net benefit of </w:t>
      </w:r>
      <w:r w:rsidR="008E3584" w:rsidRPr="000C5363">
        <w:rPr>
          <w:rFonts w:ascii="Times New Roman" w:hAnsi="Times New Roman" w:cs="Times New Roman"/>
        </w:rPr>
        <w:t xml:space="preserve">$2,451,000 </w:t>
      </w:r>
      <w:r w:rsidR="00167DE6" w:rsidRPr="000C5363">
        <w:rPr>
          <w:rFonts w:ascii="Times New Roman" w:hAnsi="Times New Roman" w:cs="Times New Roman"/>
        </w:rPr>
        <w:t>over three years.</w:t>
      </w:r>
    </w:p>
    <w:p w14:paraId="186C2D26" w14:textId="77777777" w:rsidR="008D2937" w:rsidRPr="003712D9" w:rsidRDefault="008D2937" w:rsidP="008D2937">
      <w:pPr>
        <w:rPr>
          <w:rFonts w:ascii="Times New Roman" w:hAnsi="Times New Roman" w:cs="Times New Roman"/>
        </w:rPr>
      </w:pPr>
    </w:p>
    <w:p w14:paraId="76E79342" w14:textId="77777777" w:rsidR="0044240F" w:rsidRPr="003712D9" w:rsidRDefault="0044240F" w:rsidP="008D2937">
      <w:pPr>
        <w:rPr>
          <w:rFonts w:ascii="Times New Roman" w:hAnsi="Times New Roman" w:cs="Times New Roman"/>
        </w:rPr>
      </w:pPr>
    </w:p>
    <w:p w14:paraId="55F3CBBF" w14:textId="3200399E" w:rsidR="00163721" w:rsidRPr="003712D9" w:rsidRDefault="00163721" w:rsidP="00580C90">
      <w:pPr>
        <w:rPr>
          <w:rFonts w:ascii="Times New Roman" w:hAnsi="Times New Roman" w:cs="Times New Roman"/>
          <w:b/>
        </w:rPr>
      </w:pPr>
    </w:p>
    <w:p w14:paraId="36D1618B" w14:textId="77777777" w:rsidR="00EC7301" w:rsidRPr="003712D9" w:rsidRDefault="00EC7301" w:rsidP="00580C90">
      <w:pPr>
        <w:rPr>
          <w:rFonts w:ascii="Times New Roman" w:hAnsi="Times New Roman" w:cs="Times New Roman"/>
          <w:b/>
        </w:rPr>
      </w:pPr>
    </w:p>
    <w:p w14:paraId="74A43EA0" w14:textId="16882EAB" w:rsidR="0044240F" w:rsidRPr="000C5363" w:rsidRDefault="008D2937" w:rsidP="00580C90">
      <w:pPr>
        <w:rPr>
          <w:rFonts w:ascii="Times New Roman" w:hAnsi="Times New Roman" w:cs="Times New Roman"/>
          <w:b/>
          <w:sz w:val="24"/>
          <w:szCs w:val="24"/>
        </w:rPr>
      </w:pPr>
      <w:r w:rsidRPr="000C536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1730A80" w14:textId="580C3881" w:rsidR="001D4E3C" w:rsidRPr="00C31458" w:rsidRDefault="001D4E3C" w:rsidP="001D4E3C">
      <w:pPr>
        <w:spacing w:after="0" w:line="360" w:lineRule="auto"/>
        <w:ind w:left="475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363">
        <w:rPr>
          <w:rFonts w:ascii="Times New Roman" w:eastAsia="Times New Roman" w:hAnsi="Times New Roman" w:cs="Times New Roman"/>
          <w:sz w:val="24"/>
          <w:szCs w:val="24"/>
        </w:rPr>
        <w:t>“5 Reasons Why We Use WordPress [UPDATED 2017].” </w:t>
      </w:r>
      <w:r w:rsidRPr="000C5363">
        <w:rPr>
          <w:rFonts w:ascii="Times New Roman" w:eastAsia="Times New Roman" w:hAnsi="Times New Roman" w:cs="Times New Roman"/>
          <w:i/>
          <w:iCs/>
          <w:sz w:val="24"/>
          <w:szCs w:val="24"/>
        </w:rPr>
        <w:t>Fresh Consulting</w:t>
      </w:r>
      <w:r w:rsidRPr="000C5363">
        <w:rPr>
          <w:rFonts w:ascii="Times New Roman" w:eastAsia="Times New Roman" w:hAnsi="Times New Roman" w:cs="Times New Roman"/>
          <w:sz w:val="24"/>
          <w:szCs w:val="24"/>
        </w:rPr>
        <w:t xml:space="preserve">, 25 Aug. 2017, </w:t>
      </w:r>
      <w:hyperlink r:id="rId7" w:history="1">
        <w:r w:rsidRPr="00C314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www.freshconsulting.com/5-reasons-why-we-use-wordpress/</w:t>
        </w:r>
      </w:hyperlink>
      <w:r w:rsidRPr="00C3145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20C77DD" w14:textId="77777777" w:rsidR="001D4E3C" w:rsidRPr="00C31458" w:rsidRDefault="001D4E3C" w:rsidP="001D4E3C">
      <w:pPr>
        <w:spacing w:after="0" w:line="360" w:lineRule="auto"/>
        <w:ind w:hanging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A50D9E" w14:textId="4AA841C8" w:rsidR="001D4E3C" w:rsidRPr="00C31458" w:rsidRDefault="001D4E3C" w:rsidP="001D4E3C">
      <w:pPr>
        <w:spacing w:after="0" w:line="360" w:lineRule="auto"/>
        <w:ind w:left="475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363">
        <w:rPr>
          <w:rFonts w:ascii="Times New Roman" w:eastAsia="Times New Roman" w:hAnsi="Times New Roman" w:cs="Times New Roman"/>
          <w:sz w:val="24"/>
          <w:szCs w:val="24"/>
        </w:rPr>
        <w:t>“What Is WordPress? A Simple Tutorial by WP101.Com.” </w:t>
      </w:r>
      <w:r w:rsidRPr="000C5363">
        <w:rPr>
          <w:rFonts w:ascii="Times New Roman" w:eastAsia="Times New Roman" w:hAnsi="Times New Roman" w:cs="Times New Roman"/>
          <w:i/>
          <w:iCs/>
          <w:sz w:val="24"/>
          <w:szCs w:val="24"/>
        </w:rPr>
        <w:t>WordPress 101 Tutorial Videos</w:t>
      </w:r>
      <w:r w:rsidRPr="000C5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C314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www.wp101.com/tutorial/what-is-wordpress/</w:t>
        </w:r>
      </w:hyperlink>
      <w:r w:rsidRPr="00C3145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9C5911A" w14:textId="5232A83B" w:rsidR="001D4E3C" w:rsidRPr="00C31458" w:rsidRDefault="001D4E3C" w:rsidP="001D4E3C">
      <w:pPr>
        <w:spacing w:after="0" w:line="360" w:lineRule="auto"/>
        <w:ind w:hanging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76BDE2" w14:textId="77777777" w:rsidR="001D4E3C" w:rsidRPr="000C5363" w:rsidRDefault="001D4E3C" w:rsidP="001D4E3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C5363">
        <w:rPr>
          <w:rFonts w:ascii="Times New Roman" w:eastAsia="Times New Roman" w:hAnsi="Times New Roman" w:cs="Times New Roman"/>
          <w:sz w:val="24"/>
          <w:szCs w:val="24"/>
        </w:rPr>
        <w:t>“Why You Should Use WordPress?” </w:t>
      </w:r>
      <w:proofErr w:type="spellStart"/>
      <w:r w:rsidRPr="000C5363">
        <w:rPr>
          <w:rFonts w:ascii="Times New Roman" w:eastAsia="Times New Roman" w:hAnsi="Times New Roman" w:cs="Times New Roman"/>
          <w:i/>
          <w:iCs/>
          <w:sz w:val="24"/>
          <w:szCs w:val="24"/>
        </w:rPr>
        <w:t>WPBeginner</w:t>
      </w:r>
      <w:proofErr w:type="spellEnd"/>
      <w:r w:rsidRPr="000C5363">
        <w:rPr>
          <w:rFonts w:ascii="Times New Roman" w:eastAsia="Times New Roman" w:hAnsi="Times New Roman" w:cs="Times New Roman"/>
          <w:sz w:val="24"/>
          <w:szCs w:val="24"/>
        </w:rPr>
        <w:t xml:space="preserve">, 7 June 2015, </w:t>
      </w:r>
    </w:p>
    <w:p w14:paraId="3A8835E4" w14:textId="58C6EED0" w:rsidR="001D4E3C" w:rsidRPr="00C31458" w:rsidRDefault="00947F16" w:rsidP="001D4E3C">
      <w:pPr>
        <w:spacing w:after="0" w:line="360" w:lineRule="auto"/>
        <w:ind w:left="4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1D4E3C" w:rsidRPr="00C314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www.wpbeginner.com/why-you-should-use-wordpress/</w:t>
        </w:r>
      </w:hyperlink>
      <w:r w:rsidR="001D4E3C" w:rsidRPr="00C3145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4691CF8" w14:textId="77777777" w:rsidR="001D4E3C" w:rsidRPr="001D4E3C" w:rsidRDefault="001D4E3C" w:rsidP="001D4E3C">
      <w:pPr>
        <w:spacing w:after="0" w:line="360" w:lineRule="auto"/>
        <w:ind w:left="475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6CB692" w14:textId="77777777" w:rsidR="001D4E3C" w:rsidRPr="001D4E3C" w:rsidRDefault="001D4E3C" w:rsidP="001D4E3C">
      <w:pPr>
        <w:spacing w:after="0" w:line="240" w:lineRule="auto"/>
        <w:ind w:hanging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B611E1" w14:textId="77777777" w:rsidR="00C31177" w:rsidRPr="00C31177" w:rsidRDefault="00C31177" w:rsidP="00C31177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3703C0AD" w14:textId="77777777" w:rsidR="00C31177" w:rsidRPr="00C31177" w:rsidRDefault="00C31177" w:rsidP="00C31177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2B81BFE2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7ED8D175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EE864D9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471AFAD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686D4754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4356464B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FD390D9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268BA5C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6C239FC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343734DD" w14:textId="77777777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44F3E497" w14:textId="3490C67C" w:rsidR="00C31177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311B4150" w14:textId="7DA571BA" w:rsidR="00163721" w:rsidRDefault="00163721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4F08DA57" w14:textId="21AD197E" w:rsidR="00163721" w:rsidRDefault="00163721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08B7C11B" w14:textId="0C77E37B" w:rsidR="00163721" w:rsidRDefault="00163721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6E5EA1C6" w14:textId="3F711CB2" w:rsidR="00163721" w:rsidRDefault="00163721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02BD149" w14:textId="3ED8853D" w:rsidR="00D86C42" w:rsidRDefault="00D86C42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37C499B" w14:textId="77777777" w:rsidR="00163721" w:rsidRDefault="00163721" w:rsidP="00580C90"/>
    <w:p w14:paraId="30018F2A" w14:textId="1D11CE9B" w:rsidR="00FB5193" w:rsidRPr="00947F16" w:rsidRDefault="00D621F6" w:rsidP="00580C90">
      <w:r w:rsidRPr="00947F16">
        <w:lastRenderedPageBreak/>
        <w:t>Number of Traditional Web Developers:</w:t>
      </w:r>
      <w:r w:rsidRPr="00947F16">
        <w:tab/>
      </w:r>
      <w:r w:rsidRPr="00947F16">
        <w:tab/>
      </w:r>
      <w:r w:rsidRPr="00947F16">
        <w:tab/>
      </w:r>
      <w:r w:rsidRPr="00947F16">
        <w:tab/>
        <w:t xml:space="preserve">3 </w:t>
      </w:r>
    </w:p>
    <w:p w14:paraId="0A9925B0" w14:textId="77B027FA" w:rsidR="00D621F6" w:rsidRPr="00947F16" w:rsidRDefault="00D621F6" w:rsidP="00580C90">
      <w:r w:rsidRPr="00947F16">
        <w:t>Number of WordPress Developers:</w:t>
      </w:r>
      <w:r w:rsidRPr="00947F16">
        <w:tab/>
      </w:r>
      <w:r w:rsidRPr="00947F16">
        <w:tab/>
      </w:r>
      <w:r w:rsidRPr="00947F16">
        <w:tab/>
      </w:r>
      <w:r w:rsidRPr="00947F16">
        <w:tab/>
        <w:t>2</w:t>
      </w:r>
    </w:p>
    <w:p w14:paraId="4F9235B0" w14:textId="26A921FA" w:rsidR="00D621F6" w:rsidRPr="00947F16" w:rsidRDefault="00D621F6" w:rsidP="00580C90">
      <w:r w:rsidRPr="00947F16">
        <w:t>Hardware and System Software:</w:t>
      </w:r>
      <w:r w:rsidRPr="00947F16">
        <w:tab/>
      </w:r>
      <w:r w:rsidR="003466C9" w:rsidRPr="00947F16">
        <w:tab/>
      </w:r>
      <w:r w:rsidRPr="00947F16">
        <w:tab/>
      </w:r>
      <w:r w:rsidRPr="00947F16">
        <w:tab/>
        <w:t>$100,000</w:t>
      </w:r>
    </w:p>
    <w:p w14:paraId="5818709A" w14:textId="1196D73D" w:rsidR="00A80569" w:rsidRPr="00947F16" w:rsidRDefault="003466C9" w:rsidP="00580C90">
      <w:r w:rsidRPr="00947F16">
        <w:t>H</w:t>
      </w:r>
      <w:r w:rsidR="00A80569" w:rsidRPr="00947F16">
        <w:t xml:space="preserve">ardware and </w:t>
      </w:r>
      <w:r w:rsidRPr="00947F16">
        <w:t>S</w:t>
      </w:r>
      <w:r w:rsidR="00A80569" w:rsidRPr="00947F16">
        <w:t xml:space="preserve">oftware </w:t>
      </w:r>
      <w:r w:rsidRPr="00947F16">
        <w:t>M</w:t>
      </w:r>
      <w:r w:rsidR="00A80569" w:rsidRPr="00947F16">
        <w:t>aintenance</w:t>
      </w:r>
      <w:r w:rsidRPr="00947F16">
        <w:t>:</w:t>
      </w:r>
      <w:r w:rsidR="00A80569" w:rsidRPr="00947F16">
        <w:tab/>
      </w:r>
      <w:r w:rsidRPr="00947F16">
        <w:tab/>
      </w:r>
      <w:r w:rsidRPr="00947F16">
        <w:tab/>
      </w:r>
      <w:r w:rsidRPr="00947F16">
        <w:tab/>
      </w:r>
      <w:r w:rsidR="00A80569" w:rsidRPr="00947F16">
        <w:t>$18,000</w:t>
      </w:r>
      <w:r w:rsidRPr="00947F16">
        <w:t xml:space="preserve"> per year</w:t>
      </w:r>
    </w:p>
    <w:p w14:paraId="4EAC748B" w14:textId="2F8DE8E2" w:rsidR="003466C9" w:rsidRPr="00947F16" w:rsidRDefault="003466C9" w:rsidP="00580C90">
      <w:r w:rsidRPr="00947F16">
        <w:t>Training and Lost Productivity:</w:t>
      </w:r>
      <w:r w:rsidRPr="00947F16">
        <w:tab/>
      </w:r>
      <w:r w:rsidRPr="00947F16">
        <w:tab/>
      </w:r>
      <w:r w:rsidRPr="00947F16">
        <w:tab/>
      </w:r>
      <w:r w:rsidRPr="00947F16">
        <w:tab/>
      </w:r>
      <w:r w:rsidRPr="00947F16">
        <w:tab/>
        <w:t xml:space="preserve">$10,000 per developer </w:t>
      </w:r>
    </w:p>
    <w:p w14:paraId="722C01D0" w14:textId="40790AA4" w:rsidR="003466C9" w:rsidRPr="00947F16" w:rsidRDefault="003466C9" w:rsidP="00580C90">
      <w:r w:rsidRPr="00947F16">
        <w:t>Headcount Reduction:</w:t>
      </w:r>
      <w:r w:rsidRPr="00947F16">
        <w:tab/>
      </w:r>
      <w:r w:rsidRPr="00947F16">
        <w:tab/>
      </w:r>
      <w:r w:rsidRPr="00947F16">
        <w:tab/>
      </w:r>
      <w:r w:rsidRPr="00947F16">
        <w:tab/>
      </w:r>
      <w:r w:rsidRPr="00947F16">
        <w:tab/>
      </w:r>
      <w:r w:rsidRPr="00947F16">
        <w:tab/>
        <w:t>$125,000*7 = $875,000</w:t>
      </w:r>
    </w:p>
    <w:p w14:paraId="19897BDE" w14:textId="77777777" w:rsidR="00D621F6" w:rsidRPr="00947F16" w:rsidRDefault="00D621F6" w:rsidP="00580C90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3258"/>
        <w:gridCol w:w="1440"/>
        <w:gridCol w:w="1440"/>
        <w:gridCol w:w="1440"/>
        <w:gridCol w:w="1903"/>
      </w:tblGrid>
      <w:tr w:rsidR="00947F16" w:rsidRPr="00947F16" w14:paraId="07CA7A43" w14:textId="77777777" w:rsidTr="005F5BAF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9321A6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Cost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7ED15E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Year 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32EAED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Year 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6B4F87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Year 3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D6C82E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Total</w:t>
            </w:r>
          </w:p>
        </w:tc>
      </w:tr>
      <w:tr w:rsidR="00947F16" w:rsidRPr="00947F16" w14:paraId="65C26E87" w14:textId="77777777" w:rsidTr="005F5BAF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C0FEE1" w14:textId="24E1C6DB" w:rsidR="003466C9" w:rsidRPr="00947F16" w:rsidRDefault="003466C9" w:rsidP="003466C9">
            <w:r w:rsidRPr="00947F16">
              <w:t>Hardware and System Software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FEF3D3" w14:textId="38A982F9" w:rsidR="003466C9" w:rsidRPr="00947F16" w:rsidRDefault="003466C9" w:rsidP="003466C9">
            <w:pPr>
              <w:jc w:val="right"/>
            </w:pPr>
            <w:r w:rsidRPr="00947F16">
              <w:t>($100,000)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DCC9AF" w14:textId="303F693A" w:rsidR="003466C9" w:rsidRPr="00947F16" w:rsidRDefault="003466C9" w:rsidP="003466C9">
            <w:pPr>
              <w:jc w:val="right"/>
            </w:pPr>
            <w:r w:rsidRPr="00947F16">
              <w:t>$0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3204EF" w14:textId="7D75EE2E" w:rsidR="003466C9" w:rsidRPr="00947F16" w:rsidRDefault="003466C9" w:rsidP="003466C9">
            <w:pPr>
              <w:jc w:val="right"/>
            </w:pPr>
            <w:r w:rsidRPr="00947F16">
              <w:t>$0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F40DCF" w14:textId="5897F804" w:rsidR="003466C9" w:rsidRPr="00947F16" w:rsidRDefault="003466C9" w:rsidP="003466C9">
            <w:pPr>
              <w:jc w:val="right"/>
            </w:pPr>
            <w:r w:rsidRPr="00947F16">
              <w:t>($100,000)</w:t>
            </w:r>
          </w:p>
        </w:tc>
      </w:tr>
      <w:tr w:rsidR="00947F16" w:rsidRPr="00947F16" w14:paraId="76C9FDA8" w14:textId="77777777" w:rsidTr="005F5BAF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BD2720" w14:textId="48C53E52" w:rsidR="003466C9" w:rsidRPr="00947F16" w:rsidRDefault="003466C9" w:rsidP="003466C9">
            <w:r w:rsidRPr="00947F16">
              <w:t>Maintenance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92B08B" w14:textId="3A5DFFFC" w:rsidR="003466C9" w:rsidRPr="00947F16" w:rsidRDefault="003466C9" w:rsidP="003466C9">
            <w:pPr>
              <w:jc w:val="right"/>
            </w:pPr>
            <w:r w:rsidRPr="00947F16">
              <w:t>($18,000)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8BAE00" w14:textId="7E0C6C79" w:rsidR="003466C9" w:rsidRPr="00947F16" w:rsidRDefault="003466C9" w:rsidP="003466C9">
            <w:pPr>
              <w:jc w:val="right"/>
            </w:pPr>
            <w:r w:rsidRPr="00947F16">
              <w:t>($18,000)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9EDFE2" w14:textId="16768FF2" w:rsidR="003466C9" w:rsidRPr="00947F16" w:rsidRDefault="003466C9" w:rsidP="003466C9">
            <w:pPr>
              <w:jc w:val="right"/>
            </w:pPr>
            <w:r w:rsidRPr="00947F16">
              <w:t>($18,000)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FFCF8C" w14:textId="26254538" w:rsidR="003466C9" w:rsidRPr="00947F16" w:rsidRDefault="003466C9" w:rsidP="003466C9">
            <w:pPr>
              <w:jc w:val="right"/>
            </w:pPr>
            <w:r w:rsidRPr="00947F16">
              <w:t>($54,000)</w:t>
            </w:r>
          </w:p>
        </w:tc>
      </w:tr>
      <w:tr w:rsidR="00947F16" w:rsidRPr="00947F16" w14:paraId="7B1B1AFB" w14:textId="77777777" w:rsidTr="005F5BAF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632BF" w14:textId="13CB717B" w:rsidR="003466C9" w:rsidRPr="00947F16" w:rsidRDefault="003466C9" w:rsidP="003466C9">
            <w:pPr>
              <w:rPr>
                <w:b/>
              </w:rPr>
            </w:pPr>
            <w:r w:rsidRPr="00947F16">
              <w:t>Training and Lost Productivity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590B7" w14:textId="7E50E333" w:rsidR="003466C9" w:rsidRPr="00947F16" w:rsidRDefault="003466C9" w:rsidP="003466C9">
            <w:pPr>
              <w:jc w:val="right"/>
            </w:pPr>
            <w:r w:rsidRPr="00947F16">
              <w:t>($20,000)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DB9B0" w14:textId="77777777" w:rsidR="003466C9" w:rsidRPr="00947F16" w:rsidRDefault="003466C9" w:rsidP="003466C9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95C6B" w14:textId="77777777" w:rsidR="003466C9" w:rsidRPr="00947F16" w:rsidRDefault="003466C9" w:rsidP="003466C9"/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2B59A6" w14:textId="1B1F9976" w:rsidR="003466C9" w:rsidRPr="00947F16" w:rsidRDefault="003466C9" w:rsidP="003466C9">
            <w:pPr>
              <w:jc w:val="right"/>
            </w:pPr>
            <w:r w:rsidRPr="00947F16">
              <w:t>($20,000)</w:t>
            </w:r>
          </w:p>
        </w:tc>
      </w:tr>
      <w:tr w:rsidR="00947F16" w:rsidRPr="00947F16" w14:paraId="66CA9C99" w14:textId="77777777" w:rsidTr="005F5BAF"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B75BE" w14:textId="77777777" w:rsidR="003466C9" w:rsidRPr="00947F16" w:rsidRDefault="003466C9" w:rsidP="003466C9">
            <w:pPr>
              <w:rPr>
                <w:b/>
              </w:rPr>
            </w:pPr>
            <w:r w:rsidRPr="00947F16">
              <w:rPr>
                <w:b/>
              </w:rPr>
              <w:t>Total Cost: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0E852" w14:textId="06CB5999" w:rsidR="003466C9" w:rsidRPr="00947F16" w:rsidRDefault="003466C9" w:rsidP="003466C9">
            <w:pPr>
              <w:jc w:val="right"/>
            </w:pPr>
            <w:r w:rsidRPr="00947F16">
              <w:t>($138,000)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D53A6" w14:textId="6C605655" w:rsidR="003466C9" w:rsidRPr="00947F16" w:rsidRDefault="003466C9" w:rsidP="003466C9">
            <w:pPr>
              <w:jc w:val="right"/>
            </w:pPr>
            <w:r w:rsidRPr="00947F16">
              <w:t>($18,000)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EFA8C" w14:textId="6120600A" w:rsidR="003466C9" w:rsidRPr="00947F16" w:rsidRDefault="003466C9" w:rsidP="003466C9">
            <w:pPr>
              <w:jc w:val="right"/>
            </w:pPr>
            <w:r w:rsidRPr="00947F16">
              <w:t>($18,000)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9E8E6D" w14:textId="70E50DF9" w:rsidR="003466C9" w:rsidRPr="00947F16" w:rsidRDefault="003466C9" w:rsidP="003466C9">
            <w:pPr>
              <w:jc w:val="right"/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($174,000)</w:t>
            </w:r>
          </w:p>
        </w:tc>
      </w:tr>
    </w:tbl>
    <w:p w14:paraId="05E691D9" w14:textId="77777777" w:rsidR="00350A99" w:rsidRPr="00947F16" w:rsidRDefault="00350A99" w:rsidP="00350A99"/>
    <w:tbl>
      <w:tblPr>
        <w:tblStyle w:val="TableGrid"/>
        <w:tblW w:w="974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48"/>
        <w:gridCol w:w="1530"/>
        <w:gridCol w:w="1350"/>
        <w:gridCol w:w="1530"/>
        <w:gridCol w:w="2089"/>
      </w:tblGrid>
      <w:tr w:rsidR="00947F16" w:rsidRPr="00947F16" w14:paraId="3A72DC86" w14:textId="77777777" w:rsidTr="005F5BAF">
        <w:tc>
          <w:tcPr>
            <w:tcW w:w="32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75D366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Benefit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3BD848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Year 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E50F1B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Year 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816D8D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54A60C" w14:textId="77777777" w:rsidR="00350A99" w:rsidRPr="00947F16" w:rsidRDefault="00350A99" w:rsidP="00350A99">
            <w:pPr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Total</w:t>
            </w:r>
          </w:p>
        </w:tc>
      </w:tr>
      <w:tr w:rsidR="00947F16" w:rsidRPr="00947F16" w14:paraId="5C58206B" w14:textId="77777777" w:rsidTr="005F5BAF">
        <w:tc>
          <w:tcPr>
            <w:tcW w:w="32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82C310" w14:textId="3B1F019E" w:rsidR="003466C9" w:rsidRPr="00947F16" w:rsidRDefault="003466C9" w:rsidP="003466C9">
            <w:r w:rsidRPr="00947F16">
              <w:t>Headcount Reduction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823A78" w14:textId="59AFED61" w:rsidR="003466C9" w:rsidRPr="00947F16" w:rsidRDefault="003466C9" w:rsidP="003466C9">
            <w:pPr>
              <w:jc w:val="right"/>
            </w:pPr>
            <w:r w:rsidRPr="00947F16">
              <w:t>$875,000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09D885" w14:textId="510BF031" w:rsidR="003466C9" w:rsidRPr="00947F16" w:rsidRDefault="003466C9" w:rsidP="005F5BAF">
            <w:pPr>
              <w:jc w:val="right"/>
            </w:pPr>
            <w:r w:rsidRPr="00947F16">
              <w:t>$875,000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C458BB" w14:textId="58301EBF" w:rsidR="003466C9" w:rsidRPr="00947F16" w:rsidRDefault="003466C9" w:rsidP="003466C9">
            <w:pPr>
              <w:jc w:val="right"/>
            </w:pPr>
            <w:r w:rsidRPr="00947F16">
              <w:t>$875,000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8CE5C8" w14:textId="1D451A3B" w:rsidR="003466C9" w:rsidRPr="00947F16" w:rsidRDefault="0069121C" w:rsidP="003466C9">
            <w:pPr>
              <w:jc w:val="right"/>
            </w:pPr>
            <w:r w:rsidRPr="00947F16">
              <w:t>$2,625,000</w:t>
            </w:r>
          </w:p>
        </w:tc>
      </w:tr>
      <w:tr w:rsidR="00947F16" w:rsidRPr="00947F16" w14:paraId="0BBB77CC" w14:textId="77777777" w:rsidTr="005F5BAF"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4244C" w14:textId="77777777" w:rsidR="003466C9" w:rsidRPr="00947F16" w:rsidRDefault="003466C9" w:rsidP="003466C9">
            <w:pPr>
              <w:rPr>
                <w:b/>
              </w:rPr>
            </w:pPr>
            <w:r w:rsidRPr="00947F16">
              <w:rPr>
                <w:b/>
              </w:rPr>
              <w:t>Benefit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14A2E" w14:textId="487F38A0" w:rsidR="003466C9" w:rsidRPr="00947F16" w:rsidRDefault="003466C9" w:rsidP="003466C9">
            <w:pPr>
              <w:jc w:val="right"/>
            </w:pPr>
            <w:r w:rsidRPr="00947F16">
              <w:t>$875,000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7A6FF" w14:textId="16D4EDF9" w:rsidR="003466C9" w:rsidRPr="00947F16" w:rsidRDefault="003466C9" w:rsidP="005F5BAF">
            <w:pPr>
              <w:jc w:val="right"/>
            </w:pPr>
            <w:r w:rsidRPr="00947F16">
              <w:t>$875,000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E47C5" w14:textId="75EA4157" w:rsidR="003466C9" w:rsidRPr="00947F16" w:rsidRDefault="003466C9" w:rsidP="003466C9">
            <w:pPr>
              <w:jc w:val="right"/>
            </w:pPr>
            <w:r w:rsidRPr="00947F16">
              <w:t>$875,000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D4472E" w14:textId="6B19D810" w:rsidR="003466C9" w:rsidRPr="00947F16" w:rsidRDefault="0069121C" w:rsidP="003466C9">
            <w:pPr>
              <w:jc w:val="right"/>
              <w:rPr>
                <w:b/>
                <w:u w:val="single"/>
              </w:rPr>
            </w:pPr>
            <w:r w:rsidRPr="00947F16">
              <w:rPr>
                <w:b/>
                <w:u w:val="single"/>
              </w:rPr>
              <w:t>$2,62</w:t>
            </w:r>
            <w:r w:rsidR="003466C9" w:rsidRPr="00947F16">
              <w:rPr>
                <w:b/>
                <w:u w:val="single"/>
              </w:rPr>
              <w:t>5,000</w:t>
            </w:r>
          </w:p>
        </w:tc>
      </w:tr>
      <w:tr w:rsidR="00947F16" w:rsidRPr="00947F16" w14:paraId="10F1396A" w14:textId="77777777" w:rsidTr="005F5BAF"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F768C" w14:textId="77777777" w:rsidR="005F5BAF" w:rsidRPr="00947F16" w:rsidRDefault="005F5BAF" w:rsidP="005F5BAF">
            <w:pPr>
              <w:rPr>
                <w:b/>
              </w:rPr>
            </w:pPr>
            <w:r w:rsidRPr="00947F16">
              <w:rPr>
                <w:b/>
              </w:rPr>
              <w:t>Net Benefit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39D7E" w14:textId="68B61AE2" w:rsidR="005F5BAF" w:rsidRPr="00947F16" w:rsidRDefault="005F5BAF" w:rsidP="005F5BAF">
            <w:pPr>
              <w:jc w:val="right"/>
              <w:rPr>
                <w:b/>
              </w:rPr>
            </w:pPr>
            <w:r w:rsidRPr="00947F16">
              <w:rPr>
                <w:b/>
              </w:rPr>
              <w:t>$737,000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DD34D" w14:textId="1722A746" w:rsidR="005F5BAF" w:rsidRPr="00947F16" w:rsidRDefault="005F5BAF" w:rsidP="005F5BAF">
            <w:pPr>
              <w:jc w:val="right"/>
              <w:rPr>
                <w:b/>
              </w:rPr>
            </w:pPr>
            <w:r w:rsidRPr="00947F16">
              <w:rPr>
                <w:b/>
              </w:rPr>
              <w:t>$857,000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FF35C" w14:textId="6B7E38B8" w:rsidR="005F5BAF" w:rsidRPr="00947F16" w:rsidRDefault="005F5BAF" w:rsidP="005F5BAF">
            <w:pPr>
              <w:jc w:val="right"/>
            </w:pPr>
            <w:r w:rsidRPr="00947F16">
              <w:rPr>
                <w:b/>
              </w:rPr>
              <w:t>$857,000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727E7B7" w14:textId="39D17BEC" w:rsidR="005F5BAF" w:rsidRPr="00947F16" w:rsidRDefault="005F5BAF" w:rsidP="005F5BAF">
            <w:pPr>
              <w:jc w:val="right"/>
              <w:rPr>
                <w:b/>
                <w:highlight w:val="yellow"/>
                <w:u w:val="single"/>
              </w:rPr>
            </w:pPr>
            <w:r w:rsidRPr="00947F16">
              <w:rPr>
                <w:b/>
                <w:highlight w:val="yellow"/>
                <w:u w:val="single"/>
              </w:rPr>
              <w:t>$2,451,000</w:t>
            </w:r>
          </w:p>
        </w:tc>
      </w:tr>
    </w:tbl>
    <w:p w14:paraId="42C79F89" w14:textId="7F40170B" w:rsidR="008D2937" w:rsidRPr="00947F16" w:rsidRDefault="008D2937" w:rsidP="00580C90"/>
    <w:p w14:paraId="58C0FDC0" w14:textId="7ED39938" w:rsidR="008D2937" w:rsidRPr="00947F16" w:rsidRDefault="008D2937" w:rsidP="00580C90"/>
    <w:p w14:paraId="16A9FDD2" w14:textId="127B1A2A" w:rsidR="008D2937" w:rsidRPr="00947F16" w:rsidRDefault="008D2937" w:rsidP="00580C90">
      <w:bookmarkStart w:id="0" w:name="_GoBack"/>
      <w:bookmarkEnd w:id="0"/>
    </w:p>
    <w:p w14:paraId="68A41076" w14:textId="0F6265FB" w:rsidR="00140276" w:rsidRPr="00947F16" w:rsidRDefault="00140276" w:rsidP="00140276">
      <w:pPr>
        <w:spacing w:after="112"/>
      </w:pPr>
    </w:p>
    <w:p w14:paraId="344C3485" w14:textId="5ED164D9" w:rsidR="00140276" w:rsidRDefault="00140276" w:rsidP="00140276"/>
    <w:p w14:paraId="6A879A9F" w14:textId="77777777" w:rsidR="00140276" w:rsidRDefault="00140276" w:rsidP="00140276">
      <w:r>
        <w:t xml:space="preserve"> </w:t>
      </w:r>
    </w:p>
    <w:p w14:paraId="6F43AA76" w14:textId="77777777" w:rsidR="00140276" w:rsidRDefault="00140276" w:rsidP="00140276">
      <w:pPr>
        <w:spacing w:after="141"/>
      </w:pPr>
      <w:r>
        <w:t xml:space="preserve"> </w:t>
      </w:r>
    </w:p>
    <w:p w14:paraId="11EF75DE" w14:textId="512E2F2E" w:rsidR="00140276" w:rsidRDefault="00140276" w:rsidP="00140276">
      <w:r>
        <w:t xml:space="preserve"> </w:t>
      </w:r>
    </w:p>
    <w:p w14:paraId="73D4D5F8" w14:textId="47217844" w:rsidR="00140276" w:rsidRDefault="00140276" w:rsidP="00140276"/>
    <w:p w14:paraId="2A898903" w14:textId="72DBD72F" w:rsidR="00140276" w:rsidRDefault="00140276" w:rsidP="00140276">
      <w:pPr>
        <w:spacing w:after="0"/>
      </w:pPr>
    </w:p>
    <w:p w14:paraId="66714438" w14:textId="0BC692D8" w:rsidR="008D2937" w:rsidRDefault="008D2937" w:rsidP="008D2937">
      <w:pPr>
        <w:tabs>
          <w:tab w:val="left" w:pos="6780"/>
        </w:tabs>
      </w:pPr>
    </w:p>
    <w:p w14:paraId="5BFC18A5" w14:textId="77777777" w:rsidR="00140276" w:rsidRPr="008D2937" w:rsidRDefault="00140276" w:rsidP="008D2937">
      <w:pPr>
        <w:tabs>
          <w:tab w:val="left" w:pos="6780"/>
        </w:tabs>
      </w:pPr>
    </w:p>
    <w:sectPr w:rsidR="00140276" w:rsidRPr="008D29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C6F4" w14:textId="77777777" w:rsidR="00E43031" w:rsidRDefault="00E43031" w:rsidP="00580C90">
      <w:pPr>
        <w:spacing w:after="0" w:line="240" w:lineRule="auto"/>
      </w:pPr>
      <w:r>
        <w:separator/>
      </w:r>
    </w:p>
  </w:endnote>
  <w:endnote w:type="continuationSeparator" w:id="0">
    <w:p w14:paraId="55F4CEA8" w14:textId="77777777" w:rsidR="00E43031" w:rsidRDefault="00E43031" w:rsidP="0058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5793" w14:textId="77777777" w:rsidR="00E43031" w:rsidRDefault="00E43031" w:rsidP="00580C90">
      <w:pPr>
        <w:spacing w:after="0" w:line="240" w:lineRule="auto"/>
      </w:pPr>
      <w:r>
        <w:separator/>
      </w:r>
    </w:p>
  </w:footnote>
  <w:footnote w:type="continuationSeparator" w:id="0">
    <w:p w14:paraId="00E07005" w14:textId="77777777" w:rsidR="00E43031" w:rsidRDefault="00E43031" w:rsidP="0058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FADA" w14:textId="66A27D86" w:rsidR="00E43031" w:rsidRDefault="00E43031">
    <w:pPr>
      <w:pStyle w:val="Header"/>
    </w:pPr>
    <w:r>
      <w:t>Rohit Pabbi</w:t>
    </w:r>
  </w:p>
  <w:p w14:paraId="193FFAEE" w14:textId="468A29CB" w:rsidR="00E43031" w:rsidRDefault="00E43031">
    <w:pPr>
      <w:pStyle w:val="Header"/>
    </w:pPr>
    <w:r>
      <w:t>MIS 2501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90"/>
    <w:rsid w:val="000353DE"/>
    <w:rsid w:val="000473F8"/>
    <w:rsid w:val="000571BB"/>
    <w:rsid w:val="00060BE6"/>
    <w:rsid w:val="000A7051"/>
    <w:rsid w:val="000A79FB"/>
    <w:rsid w:val="000B10E6"/>
    <w:rsid w:val="000C5363"/>
    <w:rsid w:val="000F1396"/>
    <w:rsid w:val="000F632D"/>
    <w:rsid w:val="001003CE"/>
    <w:rsid w:val="0013051B"/>
    <w:rsid w:val="00140276"/>
    <w:rsid w:val="00151ED2"/>
    <w:rsid w:val="00163721"/>
    <w:rsid w:val="00164263"/>
    <w:rsid w:val="00167DE6"/>
    <w:rsid w:val="001834B9"/>
    <w:rsid w:val="00187057"/>
    <w:rsid w:val="001D3974"/>
    <w:rsid w:val="001D4E3C"/>
    <w:rsid w:val="00227763"/>
    <w:rsid w:val="00237FD0"/>
    <w:rsid w:val="002426AA"/>
    <w:rsid w:val="00285181"/>
    <w:rsid w:val="0029700D"/>
    <w:rsid w:val="002D7911"/>
    <w:rsid w:val="002E0A6B"/>
    <w:rsid w:val="002F2F94"/>
    <w:rsid w:val="002F68B3"/>
    <w:rsid w:val="003466C9"/>
    <w:rsid w:val="00350A99"/>
    <w:rsid w:val="003679C9"/>
    <w:rsid w:val="003712D9"/>
    <w:rsid w:val="0039375C"/>
    <w:rsid w:val="00397917"/>
    <w:rsid w:val="003C3FD7"/>
    <w:rsid w:val="003D4EDA"/>
    <w:rsid w:val="003D6C06"/>
    <w:rsid w:val="003F4799"/>
    <w:rsid w:val="004245FA"/>
    <w:rsid w:val="004246BB"/>
    <w:rsid w:val="0044240F"/>
    <w:rsid w:val="00457CD8"/>
    <w:rsid w:val="004602D5"/>
    <w:rsid w:val="00461174"/>
    <w:rsid w:val="00482983"/>
    <w:rsid w:val="004901D5"/>
    <w:rsid w:val="004911F7"/>
    <w:rsid w:val="004B00D6"/>
    <w:rsid w:val="004E214A"/>
    <w:rsid w:val="00500D5E"/>
    <w:rsid w:val="00507C78"/>
    <w:rsid w:val="005312BA"/>
    <w:rsid w:val="00556694"/>
    <w:rsid w:val="005612F9"/>
    <w:rsid w:val="00575327"/>
    <w:rsid w:val="00580C90"/>
    <w:rsid w:val="00584957"/>
    <w:rsid w:val="005A05C3"/>
    <w:rsid w:val="005A0ED5"/>
    <w:rsid w:val="005A410F"/>
    <w:rsid w:val="005D61F1"/>
    <w:rsid w:val="005F4496"/>
    <w:rsid w:val="005F5BAF"/>
    <w:rsid w:val="005F7BA0"/>
    <w:rsid w:val="0060211C"/>
    <w:rsid w:val="00620447"/>
    <w:rsid w:val="00627005"/>
    <w:rsid w:val="006337AC"/>
    <w:rsid w:val="00647C05"/>
    <w:rsid w:val="0069121C"/>
    <w:rsid w:val="006935F0"/>
    <w:rsid w:val="006A416D"/>
    <w:rsid w:val="006B6301"/>
    <w:rsid w:val="006E3327"/>
    <w:rsid w:val="00703CBF"/>
    <w:rsid w:val="00722714"/>
    <w:rsid w:val="007540FA"/>
    <w:rsid w:val="0078555F"/>
    <w:rsid w:val="007A77E4"/>
    <w:rsid w:val="007B7283"/>
    <w:rsid w:val="007C45FD"/>
    <w:rsid w:val="007D518C"/>
    <w:rsid w:val="008462FE"/>
    <w:rsid w:val="008856FE"/>
    <w:rsid w:val="00885EEF"/>
    <w:rsid w:val="008D2937"/>
    <w:rsid w:val="008E3584"/>
    <w:rsid w:val="00947250"/>
    <w:rsid w:val="00947F16"/>
    <w:rsid w:val="00950D4C"/>
    <w:rsid w:val="00954D1D"/>
    <w:rsid w:val="00966115"/>
    <w:rsid w:val="00975A17"/>
    <w:rsid w:val="00982EDF"/>
    <w:rsid w:val="00991FD9"/>
    <w:rsid w:val="009C3A76"/>
    <w:rsid w:val="00A23072"/>
    <w:rsid w:val="00A32025"/>
    <w:rsid w:val="00A40BD7"/>
    <w:rsid w:val="00A438F8"/>
    <w:rsid w:val="00A60936"/>
    <w:rsid w:val="00A62897"/>
    <w:rsid w:val="00A679EA"/>
    <w:rsid w:val="00A7360B"/>
    <w:rsid w:val="00A77E37"/>
    <w:rsid w:val="00A80569"/>
    <w:rsid w:val="00A81F76"/>
    <w:rsid w:val="00AA7095"/>
    <w:rsid w:val="00AA724A"/>
    <w:rsid w:val="00AD2B89"/>
    <w:rsid w:val="00AF3618"/>
    <w:rsid w:val="00B10157"/>
    <w:rsid w:val="00B14C5E"/>
    <w:rsid w:val="00B1532A"/>
    <w:rsid w:val="00B20050"/>
    <w:rsid w:val="00B559F3"/>
    <w:rsid w:val="00B616A1"/>
    <w:rsid w:val="00B663A9"/>
    <w:rsid w:val="00B7168A"/>
    <w:rsid w:val="00BB23F9"/>
    <w:rsid w:val="00BD1147"/>
    <w:rsid w:val="00BD545C"/>
    <w:rsid w:val="00BE3E91"/>
    <w:rsid w:val="00BF360F"/>
    <w:rsid w:val="00C049BD"/>
    <w:rsid w:val="00C31177"/>
    <w:rsid w:val="00C31458"/>
    <w:rsid w:val="00C42FD1"/>
    <w:rsid w:val="00C575E3"/>
    <w:rsid w:val="00CA4BEF"/>
    <w:rsid w:val="00CB596F"/>
    <w:rsid w:val="00CC2945"/>
    <w:rsid w:val="00CC37D5"/>
    <w:rsid w:val="00CD25EB"/>
    <w:rsid w:val="00CE2D77"/>
    <w:rsid w:val="00CF640A"/>
    <w:rsid w:val="00D0680E"/>
    <w:rsid w:val="00D26B5D"/>
    <w:rsid w:val="00D6049F"/>
    <w:rsid w:val="00D621D0"/>
    <w:rsid w:val="00D621F6"/>
    <w:rsid w:val="00D835E8"/>
    <w:rsid w:val="00D86C42"/>
    <w:rsid w:val="00DC0BC5"/>
    <w:rsid w:val="00DC114F"/>
    <w:rsid w:val="00DD51F0"/>
    <w:rsid w:val="00DE6E8E"/>
    <w:rsid w:val="00DF1CA4"/>
    <w:rsid w:val="00E30C1F"/>
    <w:rsid w:val="00E360B2"/>
    <w:rsid w:val="00E43031"/>
    <w:rsid w:val="00E511A0"/>
    <w:rsid w:val="00E51E6B"/>
    <w:rsid w:val="00E61EEC"/>
    <w:rsid w:val="00E652D5"/>
    <w:rsid w:val="00E744F5"/>
    <w:rsid w:val="00EA2378"/>
    <w:rsid w:val="00EB696B"/>
    <w:rsid w:val="00EB7F83"/>
    <w:rsid w:val="00EC7301"/>
    <w:rsid w:val="00EF1C74"/>
    <w:rsid w:val="00F21162"/>
    <w:rsid w:val="00F23331"/>
    <w:rsid w:val="00F249E2"/>
    <w:rsid w:val="00F53959"/>
    <w:rsid w:val="00F5508F"/>
    <w:rsid w:val="00F759F4"/>
    <w:rsid w:val="00F96DA9"/>
    <w:rsid w:val="00FA24D6"/>
    <w:rsid w:val="00FA40D8"/>
    <w:rsid w:val="00FB5193"/>
    <w:rsid w:val="00FD14C0"/>
    <w:rsid w:val="00FE3581"/>
    <w:rsid w:val="00FE6FC1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FEBC2"/>
  <w15:docId w15:val="{EFC9F677-8305-411F-8F73-3BE1110F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90"/>
  </w:style>
  <w:style w:type="paragraph" w:styleId="Footer">
    <w:name w:val="footer"/>
    <w:basedOn w:val="Normal"/>
    <w:link w:val="FooterChar"/>
    <w:uiPriority w:val="99"/>
    <w:unhideWhenUsed/>
    <w:rsid w:val="0058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90"/>
  </w:style>
  <w:style w:type="table" w:styleId="TableGrid">
    <w:name w:val="Table Grid"/>
    <w:basedOn w:val="TableNormal"/>
    <w:uiPriority w:val="39"/>
    <w:rsid w:val="00FE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402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4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65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3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138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255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101.com/tutorial/what-is-wordp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shconsulting.com/5-reasons-why-we-use-wordpr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pbeginner.com/why-you-should-use-word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B1E0-0277-4683-A97F-50B25FC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Pabbi</dc:creator>
  <cp:keywords/>
  <dc:description/>
  <cp:lastModifiedBy>Rohit Pabbi</cp:lastModifiedBy>
  <cp:revision>19</cp:revision>
  <cp:lastPrinted>2018-04-17T03:05:00Z</cp:lastPrinted>
  <dcterms:created xsi:type="dcterms:W3CDTF">2018-04-22T23:25:00Z</dcterms:created>
  <dcterms:modified xsi:type="dcterms:W3CDTF">2018-04-24T20:03:00Z</dcterms:modified>
</cp:coreProperties>
</file>