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6B696" w14:textId="77777777" w:rsidR="004025EE" w:rsidRDefault="00220AB0" w:rsidP="004D695C">
      <w:pPr>
        <w:spacing w:line="360" w:lineRule="auto"/>
      </w:pPr>
      <w:r>
        <w:t>Ryan Tempestini</w:t>
      </w:r>
    </w:p>
    <w:p w14:paraId="1FE7703C" w14:textId="77777777" w:rsidR="00220AB0" w:rsidRDefault="00220AB0" w:rsidP="004D695C">
      <w:pPr>
        <w:spacing w:line="360" w:lineRule="auto"/>
      </w:pPr>
      <w:r>
        <w:t>Professor Doyle</w:t>
      </w:r>
    </w:p>
    <w:p w14:paraId="0CC97C2D" w14:textId="77777777" w:rsidR="00220AB0" w:rsidRDefault="00220AB0" w:rsidP="004D695C">
      <w:pPr>
        <w:spacing w:line="360" w:lineRule="auto"/>
      </w:pPr>
      <w:r>
        <w:t>MIS 2501</w:t>
      </w:r>
    </w:p>
    <w:p w14:paraId="28AD7DAD" w14:textId="77777777" w:rsidR="00220AB0" w:rsidRDefault="00220AB0" w:rsidP="00220AB0">
      <w:pPr>
        <w:jc w:val="center"/>
        <w:rPr>
          <w:b/>
        </w:rPr>
      </w:pPr>
    </w:p>
    <w:p w14:paraId="22BB1996" w14:textId="28732E5E" w:rsidR="00220AB0" w:rsidRDefault="005C4668" w:rsidP="004D695C">
      <w:pPr>
        <w:spacing w:line="480" w:lineRule="auto"/>
        <w:jc w:val="center"/>
        <w:rPr>
          <w:b/>
        </w:rPr>
      </w:pPr>
      <w:r>
        <w:rPr>
          <w:b/>
        </w:rPr>
        <w:t>Flash Research Paper #2</w:t>
      </w:r>
    </w:p>
    <w:p w14:paraId="7ED14AC2" w14:textId="4BD27E19" w:rsidR="00220AB0" w:rsidRDefault="00220AB0" w:rsidP="004D695C">
      <w:pPr>
        <w:spacing w:line="480" w:lineRule="auto"/>
      </w:pPr>
      <w:r>
        <w:tab/>
        <w:t xml:space="preserve">The current </w:t>
      </w:r>
      <w:r w:rsidR="002B7C0E">
        <w:t>server system</w:t>
      </w:r>
      <w:r>
        <w:t xml:space="preserve"> we have been using has been losing </w:t>
      </w:r>
      <w:r w:rsidR="000C1286">
        <w:t xml:space="preserve">us money due to its </w:t>
      </w:r>
      <w:r w:rsidR="002B7C0E">
        <w:t xml:space="preserve">hardware </w:t>
      </w:r>
      <w:r w:rsidR="000C1286">
        <w:t xml:space="preserve">inefficiencies. If we were to </w:t>
      </w:r>
      <w:r w:rsidR="002B7C0E">
        <w:t xml:space="preserve">virtualize 80% of our servers </w:t>
      </w:r>
      <w:r w:rsidR="000C1286">
        <w:t>t</w:t>
      </w:r>
      <w:r w:rsidR="002B7C0E">
        <w:t>hrough VMware</w:t>
      </w:r>
      <w:r w:rsidR="000C1286">
        <w:t xml:space="preserve">, our company will have </w:t>
      </w:r>
      <w:r w:rsidR="00F26720">
        <w:t>total</w:t>
      </w:r>
      <w:r w:rsidR="000C1286">
        <w:t xml:space="preserve"> savings of </w:t>
      </w:r>
      <w:r w:rsidR="002B7C0E">
        <w:t>$9.2</w:t>
      </w:r>
      <w:r w:rsidR="000C1286">
        <w:t xml:space="preserve"> million over the next three years. These savings can be attributed to </w:t>
      </w:r>
      <w:r w:rsidR="00D45903">
        <w:t>server consolidation</w:t>
      </w:r>
      <w:r w:rsidR="00530E93">
        <w:t xml:space="preserve">. To be a more </w:t>
      </w:r>
      <w:r w:rsidR="00B93603">
        <w:t>profitable</w:t>
      </w:r>
      <w:r w:rsidR="00530E93">
        <w:t xml:space="preserve"> enter</w:t>
      </w:r>
      <w:r w:rsidR="002B7C0E">
        <w:t>prise, it is essential to identify more efficient software solutions and employ them</w:t>
      </w:r>
      <w:r w:rsidR="00530E93">
        <w:t>.</w:t>
      </w:r>
    </w:p>
    <w:p w14:paraId="40125BEE" w14:textId="4BA65B62" w:rsidR="00D81017" w:rsidRDefault="00530E93" w:rsidP="00220AB0">
      <w:pPr>
        <w:spacing w:line="480" w:lineRule="auto"/>
      </w:pPr>
      <w:r>
        <w:tab/>
      </w:r>
      <w:r w:rsidR="00D81017">
        <w:t>Virtualizing 800 physical servers through</w:t>
      </w:r>
      <w:r w:rsidR="002B7C0E">
        <w:t xml:space="preserve"> </w:t>
      </w:r>
      <w:r w:rsidR="00D81017">
        <w:t>VMware</w:t>
      </w:r>
      <w:r w:rsidR="002B7C0E">
        <w:t xml:space="preserve"> would reduce the amount of physical hardware servers in our data center from 1,000 to 280</w:t>
      </w:r>
      <w:r w:rsidR="00D81017">
        <w:t xml:space="preserve"> by consolidating</w:t>
      </w:r>
      <w:r w:rsidR="002B7C0E">
        <w:t xml:space="preserve"> 10 individual </w:t>
      </w:r>
      <w:r w:rsidR="00D81017">
        <w:t>servers into</w:t>
      </w:r>
      <w:r w:rsidR="002B7C0E">
        <w:t xml:space="preserve"> one physical server</w:t>
      </w:r>
      <w:r w:rsidR="00D81017">
        <w:t xml:space="preserve">. Each one of these virtual servers will still </w:t>
      </w:r>
      <w:r w:rsidR="00515BD0">
        <w:t>be able to run its own applications and software</w:t>
      </w:r>
      <w:r w:rsidR="00D81017">
        <w:t xml:space="preserve">, but with greater efficiency and less required maintenance. </w:t>
      </w:r>
      <w:r w:rsidR="00C650DC">
        <w:t>Consolidating these servers not only reduces the amount of physical hardware the IT department needs to maintain,</w:t>
      </w:r>
      <w:r w:rsidR="005C4668">
        <w:t xml:space="preserve"> but </w:t>
      </w:r>
      <w:r w:rsidR="00F842D7">
        <w:t xml:space="preserve">also </w:t>
      </w:r>
      <w:r w:rsidR="005C4668">
        <w:t xml:space="preserve">provides a safety </w:t>
      </w:r>
      <w:proofErr w:type="gramStart"/>
      <w:r w:rsidR="005C4668">
        <w:t>measure</w:t>
      </w:r>
      <w:proofErr w:type="gramEnd"/>
      <w:r w:rsidR="005C4668">
        <w:t xml:space="preserve"> through the use of redundancy.</w:t>
      </w:r>
      <w:r w:rsidR="00C650DC">
        <w:t xml:space="preserve"> </w:t>
      </w:r>
      <w:r w:rsidR="005C4668">
        <w:t>If we were to run</w:t>
      </w:r>
      <w:r w:rsidR="00C650DC">
        <w:t xml:space="preserve"> the same application </w:t>
      </w:r>
      <w:r w:rsidR="005C4668">
        <w:t xml:space="preserve">on multiple servers and one server were to fail, another server on the same physical machine could take its place. This would result in </w:t>
      </w:r>
      <w:r w:rsidR="00D45903">
        <w:t>cost savings through consolidation</w:t>
      </w:r>
      <w:bookmarkStart w:id="0" w:name="_GoBack"/>
      <w:bookmarkEnd w:id="0"/>
      <w:r w:rsidR="005C4668">
        <w:t>.</w:t>
      </w:r>
    </w:p>
    <w:p w14:paraId="02363E60" w14:textId="247D123A" w:rsidR="00B93603" w:rsidRDefault="00B93603" w:rsidP="00220AB0">
      <w:pPr>
        <w:spacing w:line="480" w:lineRule="auto"/>
      </w:pPr>
      <w:r>
        <w:tab/>
      </w:r>
      <w:r w:rsidR="00C650DC">
        <w:t xml:space="preserve">Converting </w:t>
      </w:r>
      <w:r w:rsidR="005C4668">
        <w:t xml:space="preserve">80% of our physical servers to virtual machines would </w:t>
      </w:r>
      <w:r w:rsidR="00F26720">
        <w:t>provide our company with a total savings of $9,200,000 over the next three years.</w:t>
      </w:r>
      <w:r w:rsidR="005C4668">
        <w:t xml:space="preserve"> </w:t>
      </w:r>
      <w:r w:rsidR="00F26720">
        <w:t xml:space="preserve">In this time period, our total costs would equate to $4,800,000, ultimately yielding </w:t>
      </w:r>
      <w:r w:rsidR="00F842D7">
        <w:t>three-year</w:t>
      </w:r>
      <w:r w:rsidR="00F26720">
        <w:t xml:space="preserve"> benefit</w:t>
      </w:r>
      <w:r w:rsidR="00D45903">
        <w:t>s of $14,0</w:t>
      </w:r>
      <w:r w:rsidR="00F26720">
        <w:t>00,000.</w:t>
      </w:r>
    </w:p>
    <w:p w14:paraId="76039F45" w14:textId="77777777" w:rsidR="00B93603" w:rsidRDefault="00B93603" w:rsidP="00220AB0">
      <w:pPr>
        <w:spacing w:line="480" w:lineRule="auto"/>
      </w:pPr>
    </w:p>
    <w:p w14:paraId="6D30F79C" w14:textId="77777777" w:rsidR="00D45903" w:rsidRDefault="00D45903" w:rsidP="00220AB0">
      <w:pPr>
        <w:spacing w:line="480" w:lineRule="auto"/>
        <w:rPr>
          <w:b/>
        </w:rPr>
      </w:pPr>
    </w:p>
    <w:p w14:paraId="0A7C35BE" w14:textId="6E9AD5ED" w:rsidR="00B93603" w:rsidRDefault="00F26720" w:rsidP="00220AB0">
      <w:pPr>
        <w:spacing w:line="480" w:lineRule="auto"/>
        <w:rPr>
          <w:b/>
        </w:rPr>
      </w:pPr>
      <w:r>
        <w:rPr>
          <w:b/>
        </w:rPr>
        <w:lastRenderedPageBreak/>
        <w:t>3 Year Costs Without Virtualization</w:t>
      </w:r>
      <w:r w:rsidR="00C94FE9">
        <w:rPr>
          <w:b/>
        </w:rPr>
        <w:t xml:space="preserve"> (1,000 traditional physical servers)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94FE9" w14:paraId="2BF134BC" w14:textId="77777777" w:rsidTr="00C94FE9">
        <w:tc>
          <w:tcPr>
            <w:tcW w:w="1771" w:type="dxa"/>
          </w:tcPr>
          <w:p w14:paraId="6EDFE3F8" w14:textId="77777777" w:rsidR="00C94FE9" w:rsidRDefault="00C94FE9" w:rsidP="00220AB0">
            <w:pPr>
              <w:spacing w:line="480" w:lineRule="auto"/>
              <w:rPr>
                <w:b/>
              </w:rPr>
            </w:pPr>
          </w:p>
        </w:tc>
        <w:tc>
          <w:tcPr>
            <w:tcW w:w="1771" w:type="dxa"/>
          </w:tcPr>
          <w:p w14:paraId="1E39838D" w14:textId="17B8E7E9" w:rsidR="00C94FE9" w:rsidRDefault="00C94FE9" w:rsidP="00220AB0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771" w:type="dxa"/>
          </w:tcPr>
          <w:p w14:paraId="1F7885C7" w14:textId="2BA58A52" w:rsidR="00C94FE9" w:rsidRDefault="00C94FE9" w:rsidP="00220AB0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771" w:type="dxa"/>
          </w:tcPr>
          <w:p w14:paraId="6DB0D6B1" w14:textId="08B839DE" w:rsidR="00C94FE9" w:rsidRDefault="00C94FE9" w:rsidP="00220AB0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772" w:type="dxa"/>
          </w:tcPr>
          <w:p w14:paraId="3429355E" w14:textId="1E90B777" w:rsidR="00C94FE9" w:rsidRDefault="00C94FE9" w:rsidP="00220AB0">
            <w:pPr>
              <w:spacing w:line="48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94FE9" w14:paraId="6439C7F5" w14:textId="77777777" w:rsidTr="00C94FE9">
        <w:tc>
          <w:tcPr>
            <w:tcW w:w="1771" w:type="dxa"/>
          </w:tcPr>
          <w:p w14:paraId="5F80E51D" w14:textId="30DB2473" w:rsidR="00C94FE9" w:rsidRDefault="00C94FE9" w:rsidP="00220AB0">
            <w:pPr>
              <w:spacing w:line="480" w:lineRule="auto"/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1771" w:type="dxa"/>
          </w:tcPr>
          <w:p w14:paraId="6EE27B0D" w14:textId="0B75E2A0" w:rsidR="00C94FE9" w:rsidRPr="00C94FE9" w:rsidRDefault="00C94FE9" w:rsidP="00220AB0">
            <w:pPr>
              <w:spacing w:line="480" w:lineRule="auto"/>
            </w:pPr>
            <w:r>
              <w:t>$10,000,000</w:t>
            </w:r>
          </w:p>
        </w:tc>
        <w:tc>
          <w:tcPr>
            <w:tcW w:w="1771" w:type="dxa"/>
          </w:tcPr>
          <w:p w14:paraId="019782AF" w14:textId="106A5B27" w:rsidR="00C94FE9" w:rsidRPr="00C94FE9" w:rsidRDefault="00C94FE9" w:rsidP="00220AB0">
            <w:pPr>
              <w:spacing w:line="480" w:lineRule="auto"/>
            </w:pPr>
            <w:r>
              <w:t>$2,000,000</w:t>
            </w:r>
          </w:p>
        </w:tc>
        <w:tc>
          <w:tcPr>
            <w:tcW w:w="1771" w:type="dxa"/>
          </w:tcPr>
          <w:p w14:paraId="2C7D28DA" w14:textId="001A7345" w:rsidR="00C94FE9" w:rsidRPr="00C94FE9" w:rsidRDefault="00C94FE9" w:rsidP="00220AB0">
            <w:pPr>
              <w:spacing w:line="480" w:lineRule="auto"/>
            </w:pPr>
            <w:r>
              <w:t>$2,000,000</w:t>
            </w:r>
          </w:p>
        </w:tc>
        <w:tc>
          <w:tcPr>
            <w:tcW w:w="1772" w:type="dxa"/>
          </w:tcPr>
          <w:p w14:paraId="5894EC4A" w14:textId="48EC390C" w:rsidR="00C94FE9" w:rsidRPr="00C94FE9" w:rsidRDefault="00C94FE9" w:rsidP="00220AB0">
            <w:pPr>
              <w:spacing w:line="480" w:lineRule="auto"/>
            </w:pPr>
            <w:r>
              <w:t>$14,000,000</w:t>
            </w:r>
          </w:p>
        </w:tc>
      </w:tr>
    </w:tbl>
    <w:p w14:paraId="1F1A760A" w14:textId="77777777" w:rsidR="00F26720" w:rsidRPr="00F26720" w:rsidRDefault="00F26720" w:rsidP="00220AB0">
      <w:pPr>
        <w:spacing w:line="480" w:lineRule="auto"/>
        <w:rPr>
          <w:b/>
        </w:rPr>
      </w:pPr>
    </w:p>
    <w:p w14:paraId="59D3E460" w14:textId="3DAA54C2" w:rsidR="00F26720" w:rsidRDefault="00C94FE9" w:rsidP="00220AB0">
      <w:pPr>
        <w:spacing w:line="480" w:lineRule="auto"/>
        <w:rPr>
          <w:b/>
        </w:rPr>
      </w:pPr>
      <w:r>
        <w:rPr>
          <w:b/>
        </w:rPr>
        <w:t>3 Year Costs With Virtualization (200 traditional physical servers, 80 virtual machine servers)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94FE9" w14:paraId="225A5D0D" w14:textId="77777777" w:rsidTr="008C2BB9">
        <w:tc>
          <w:tcPr>
            <w:tcW w:w="1771" w:type="dxa"/>
          </w:tcPr>
          <w:p w14:paraId="425E9353" w14:textId="77777777" w:rsidR="00C94FE9" w:rsidRDefault="00C94FE9" w:rsidP="008C2BB9">
            <w:pPr>
              <w:spacing w:line="480" w:lineRule="auto"/>
              <w:rPr>
                <w:b/>
              </w:rPr>
            </w:pPr>
          </w:p>
        </w:tc>
        <w:tc>
          <w:tcPr>
            <w:tcW w:w="1771" w:type="dxa"/>
          </w:tcPr>
          <w:p w14:paraId="4146A7DA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771" w:type="dxa"/>
          </w:tcPr>
          <w:p w14:paraId="4EA221B9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771" w:type="dxa"/>
          </w:tcPr>
          <w:p w14:paraId="3CF493A5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772" w:type="dxa"/>
          </w:tcPr>
          <w:p w14:paraId="0DD0E7D4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94FE9" w14:paraId="3A4CA236" w14:textId="77777777" w:rsidTr="008C2BB9">
        <w:tc>
          <w:tcPr>
            <w:tcW w:w="1771" w:type="dxa"/>
          </w:tcPr>
          <w:p w14:paraId="7FB07590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Costs</w:t>
            </w:r>
          </w:p>
        </w:tc>
        <w:tc>
          <w:tcPr>
            <w:tcW w:w="1771" w:type="dxa"/>
          </w:tcPr>
          <w:p w14:paraId="2F9B1E35" w14:textId="48A9637E" w:rsidR="00C94FE9" w:rsidRPr="00C94FE9" w:rsidRDefault="00C94FE9" w:rsidP="00C94FE9">
            <w:pPr>
              <w:spacing w:line="480" w:lineRule="auto"/>
            </w:pPr>
            <w:r>
              <w:t>$3,520,000</w:t>
            </w:r>
          </w:p>
        </w:tc>
        <w:tc>
          <w:tcPr>
            <w:tcW w:w="1771" w:type="dxa"/>
          </w:tcPr>
          <w:p w14:paraId="6CE2ABB2" w14:textId="26997F25" w:rsidR="00C94FE9" w:rsidRPr="00C94FE9" w:rsidRDefault="00C94FE9" w:rsidP="00C94FE9">
            <w:pPr>
              <w:spacing w:line="480" w:lineRule="auto"/>
            </w:pPr>
            <w:r>
              <w:t>$640,000</w:t>
            </w:r>
          </w:p>
        </w:tc>
        <w:tc>
          <w:tcPr>
            <w:tcW w:w="1771" w:type="dxa"/>
          </w:tcPr>
          <w:p w14:paraId="4EE1C0B4" w14:textId="0ADE886E" w:rsidR="00C94FE9" w:rsidRPr="00C94FE9" w:rsidRDefault="00C94FE9" w:rsidP="00C94FE9">
            <w:pPr>
              <w:spacing w:line="480" w:lineRule="auto"/>
            </w:pPr>
            <w:r>
              <w:t>$640,000</w:t>
            </w:r>
          </w:p>
        </w:tc>
        <w:tc>
          <w:tcPr>
            <w:tcW w:w="1772" w:type="dxa"/>
          </w:tcPr>
          <w:p w14:paraId="45AA88BD" w14:textId="170E7BA0" w:rsidR="00C94FE9" w:rsidRPr="00C94FE9" w:rsidRDefault="00C94FE9" w:rsidP="00C94FE9">
            <w:pPr>
              <w:spacing w:line="480" w:lineRule="auto"/>
            </w:pPr>
            <w:r>
              <w:t>$4,800,000</w:t>
            </w:r>
          </w:p>
        </w:tc>
      </w:tr>
    </w:tbl>
    <w:p w14:paraId="4A825EDB" w14:textId="77777777" w:rsidR="00C94FE9" w:rsidRPr="00C94FE9" w:rsidRDefault="00C94FE9" w:rsidP="00220AB0">
      <w:pPr>
        <w:spacing w:line="480" w:lineRule="auto"/>
        <w:rPr>
          <w:b/>
        </w:rPr>
      </w:pPr>
    </w:p>
    <w:p w14:paraId="30ED24F2" w14:textId="494CE62C" w:rsidR="00F26720" w:rsidRPr="00C94FE9" w:rsidRDefault="00C94FE9" w:rsidP="00220AB0">
      <w:pPr>
        <w:spacing w:line="480" w:lineRule="auto"/>
        <w:rPr>
          <w:b/>
        </w:rPr>
      </w:pPr>
      <w:proofErr w:type="gramStart"/>
      <w:r w:rsidRPr="00C94FE9">
        <w:rPr>
          <w:b/>
        </w:rPr>
        <w:t>3 Year</w:t>
      </w:r>
      <w:proofErr w:type="gramEnd"/>
      <w:r w:rsidRPr="00C94FE9">
        <w:rPr>
          <w:b/>
        </w:rPr>
        <w:t xml:space="preserve"> Savings With Virtualization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94FE9" w14:paraId="7A1F47FD" w14:textId="77777777" w:rsidTr="008C2BB9">
        <w:tc>
          <w:tcPr>
            <w:tcW w:w="1771" w:type="dxa"/>
          </w:tcPr>
          <w:p w14:paraId="7BE4C2CB" w14:textId="77777777" w:rsidR="00C94FE9" w:rsidRDefault="00C94FE9" w:rsidP="008C2BB9">
            <w:pPr>
              <w:spacing w:line="480" w:lineRule="auto"/>
              <w:rPr>
                <w:b/>
              </w:rPr>
            </w:pPr>
          </w:p>
        </w:tc>
        <w:tc>
          <w:tcPr>
            <w:tcW w:w="1771" w:type="dxa"/>
          </w:tcPr>
          <w:p w14:paraId="1211D2D8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771" w:type="dxa"/>
          </w:tcPr>
          <w:p w14:paraId="50D26DED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771" w:type="dxa"/>
          </w:tcPr>
          <w:p w14:paraId="33D0058C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772" w:type="dxa"/>
          </w:tcPr>
          <w:p w14:paraId="4E71ADA4" w14:textId="77777777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94FE9" w14:paraId="57932708" w14:textId="77777777" w:rsidTr="008C2BB9">
        <w:tc>
          <w:tcPr>
            <w:tcW w:w="1771" w:type="dxa"/>
          </w:tcPr>
          <w:p w14:paraId="1D19A5D4" w14:textId="08DB5876" w:rsidR="00C94FE9" w:rsidRDefault="00C94FE9" w:rsidP="008C2BB9">
            <w:pPr>
              <w:spacing w:line="480" w:lineRule="auto"/>
              <w:rPr>
                <w:b/>
              </w:rPr>
            </w:pPr>
            <w:r>
              <w:rPr>
                <w:b/>
              </w:rPr>
              <w:t>Savings</w:t>
            </w:r>
          </w:p>
        </w:tc>
        <w:tc>
          <w:tcPr>
            <w:tcW w:w="1771" w:type="dxa"/>
          </w:tcPr>
          <w:p w14:paraId="7BFB85A9" w14:textId="3EBAECC0" w:rsidR="00C94FE9" w:rsidRPr="00C94FE9" w:rsidRDefault="00C94FE9" w:rsidP="00C94FE9">
            <w:pPr>
              <w:spacing w:line="480" w:lineRule="auto"/>
            </w:pPr>
            <w:r>
              <w:t>$6,480,000</w:t>
            </w:r>
          </w:p>
        </w:tc>
        <w:tc>
          <w:tcPr>
            <w:tcW w:w="1771" w:type="dxa"/>
          </w:tcPr>
          <w:p w14:paraId="7B43A7D1" w14:textId="02F78680" w:rsidR="00C94FE9" w:rsidRPr="00C94FE9" w:rsidRDefault="00C94FE9" w:rsidP="00C94FE9">
            <w:pPr>
              <w:spacing w:line="480" w:lineRule="auto"/>
            </w:pPr>
            <w:r>
              <w:t>$1,360,000</w:t>
            </w:r>
          </w:p>
        </w:tc>
        <w:tc>
          <w:tcPr>
            <w:tcW w:w="1771" w:type="dxa"/>
          </w:tcPr>
          <w:p w14:paraId="6D89EDD7" w14:textId="7DD56AC3" w:rsidR="00C94FE9" w:rsidRPr="00C94FE9" w:rsidRDefault="00C94FE9" w:rsidP="00C94FE9">
            <w:pPr>
              <w:spacing w:line="480" w:lineRule="auto"/>
            </w:pPr>
            <w:r>
              <w:t>$1,360,000</w:t>
            </w:r>
          </w:p>
        </w:tc>
        <w:tc>
          <w:tcPr>
            <w:tcW w:w="1772" w:type="dxa"/>
          </w:tcPr>
          <w:p w14:paraId="5F76471E" w14:textId="427C53D5" w:rsidR="00C94FE9" w:rsidRPr="00C94FE9" w:rsidRDefault="00C94FE9" w:rsidP="008C2BB9">
            <w:pPr>
              <w:spacing w:line="480" w:lineRule="auto"/>
            </w:pPr>
            <w:r>
              <w:t>$9,200,000</w:t>
            </w:r>
          </w:p>
        </w:tc>
      </w:tr>
    </w:tbl>
    <w:p w14:paraId="14AF2B3D" w14:textId="77777777" w:rsidR="00F26720" w:rsidRDefault="00F26720" w:rsidP="00220AB0">
      <w:pPr>
        <w:spacing w:line="480" w:lineRule="auto"/>
      </w:pPr>
    </w:p>
    <w:p w14:paraId="5A2682ED" w14:textId="77777777" w:rsidR="00B93603" w:rsidRDefault="00B93603" w:rsidP="00220AB0">
      <w:pPr>
        <w:spacing w:line="480" w:lineRule="auto"/>
      </w:pPr>
    </w:p>
    <w:p w14:paraId="1279B430" w14:textId="77777777" w:rsidR="00B93603" w:rsidRDefault="00B93603" w:rsidP="00220AB0">
      <w:pPr>
        <w:spacing w:line="480" w:lineRule="auto"/>
        <w:rPr>
          <w:b/>
        </w:rPr>
      </w:pPr>
      <w:r>
        <w:rPr>
          <w:b/>
        </w:rPr>
        <w:t>Works Cited</w:t>
      </w:r>
    </w:p>
    <w:p w14:paraId="2AF0EC6F" w14:textId="77777777" w:rsidR="00F26720" w:rsidRPr="00F26720" w:rsidRDefault="00F26720" w:rsidP="00F26720">
      <w:pPr>
        <w:rPr>
          <w:rFonts w:ascii="Times" w:eastAsia="Times New Roman" w:hAnsi="Times"/>
          <w:color w:val="auto"/>
          <w:sz w:val="20"/>
          <w:szCs w:val="20"/>
        </w:rPr>
      </w:pPr>
      <w:r w:rsidRPr="00F26720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"How Server Virtualization Works." </w:t>
      </w:r>
      <w:proofErr w:type="spellStart"/>
      <w:r w:rsidRPr="00F26720">
        <w:rPr>
          <w:rFonts w:ascii="Helvetica" w:eastAsia="Times New Roman" w:hAnsi="Helvetica"/>
          <w:bCs/>
          <w:i/>
          <w:iCs/>
          <w:color w:val="333333"/>
          <w:sz w:val="21"/>
          <w:szCs w:val="21"/>
          <w:shd w:val="clear" w:color="auto" w:fill="FFFFFF"/>
        </w:rPr>
        <w:t>HowStuffWorks</w:t>
      </w:r>
      <w:proofErr w:type="spellEnd"/>
      <w:r w:rsidRPr="00F26720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F26720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N.p</w:t>
      </w:r>
      <w:proofErr w:type="spellEnd"/>
      <w:r w:rsidRPr="00F26720"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  <w:t>., 02 June 2008. Web. 28 Feb. 2017.</w:t>
      </w:r>
    </w:p>
    <w:p w14:paraId="0E3AF918" w14:textId="77777777" w:rsidR="001741A3" w:rsidRPr="00F26720" w:rsidRDefault="001741A3" w:rsidP="001741A3">
      <w:pPr>
        <w:rPr>
          <w:rFonts w:ascii="Helvetica" w:eastAsia="Times New Roman" w:hAnsi="Helvetica"/>
          <w:bCs/>
          <w:color w:val="333333"/>
          <w:sz w:val="21"/>
          <w:szCs w:val="21"/>
          <w:shd w:val="clear" w:color="auto" w:fill="FFFFFF"/>
        </w:rPr>
      </w:pPr>
    </w:p>
    <w:p w14:paraId="2D10019E" w14:textId="77777777" w:rsidR="00F26720" w:rsidRPr="00F26720" w:rsidRDefault="00F26720" w:rsidP="00F26720">
      <w:pPr>
        <w:rPr>
          <w:rFonts w:ascii="Arial" w:eastAsia="Times New Roman" w:hAnsi="Arial"/>
          <w:color w:val="666666"/>
          <w:sz w:val="21"/>
          <w:szCs w:val="21"/>
          <w:shd w:val="clear" w:color="auto" w:fill="FFFFFF"/>
        </w:rPr>
      </w:pPr>
      <w:r w:rsidRPr="00F26720">
        <w:rPr>
          <w:rFonts w:ascii="Arial" w:eastAsia="Times New Roman" w:hAnsi="Arial"/>
          <w:color w:val="666666"/>
          <w:sz w:val="21"/>
          <w:szCs w:val="21"/>
          <w:shd w:val="clear" w:color="auto" w:fill="FFFFFF"/>
        </w:rPr>
        <w:t>"Top 10 Benefits of Server Virtualization -- Virtualization Review." </w:t>
      </w:r>
      <w:r w:rsidRPr="00F26720">
        <w:rPr>
          <w:rFonts w:ascii="Arial" w:eastAsia="Times New Roman" w:hAnsi="Arial"/>
          <w:i/>
          <w:iCs/>
          <w:color w:val="666666"/>
          <w:sz w:val="21"/>
          <w:szCs w:val="21"/>
          <w:shd w:val="clear" w:color="auto" w:fill="FFFFFF"/>
        </w:rPr>
        <w:t>Home -- Virtualization Review. </w:t>
      </w:r>
      <w:r w:rsidRPr="00F26720">
        <w:rPr>
          <w:rFonts w:ascii="Arial" w:eastAsia="Times New Roman" w:hAnsi="Arial"/>
          <w:color w:val="666666"/>
          <w:sz w:val="21"/>
          <w:szCs w:val="21"/>
          <w:shd w:val="clear" w:color="auto" w:fill="FFFFFF"/>
        </w:rPr>
        <w:t>Web. &lt;http://virtualizationreview.com/articles/2011/06/20/top-10-benefits-of-server-virtualization.aspx&gt;.</w:t>
      </w:r>
    </w:p>
    <w:p w14:paraId="5A1ADDCB" w14:textId="77777777" w:rsidR="00F26720" w:rsidRPr="00F26720" w:rsidRDefault="00F26720" w:rsidP="00F26720">
      <w:pPr>
        <w:rPr>
          <w:rFonts w:ascii="Arial" w:eastAsia="Times New Roman" w:hAnsi="Arial"/>
          <w:color w:val="666666"/>
          <w:sz w:val="21"/>
          <w:szCs w:val="21"/>
          <w:shd w:val="clear" w:color="auto" w:fill="FFFFFF"/>
        </w:rPr>
      </w:pPr>
    </w:p>
    <w:p w14:paraId="25160BEA" w14:textId="77777777" w:rsidR="00F26720" w:rsidRPr="00F26720" w:rsidRDefault="00F26720" w:rsidP="00F26720">
      <w:pPr>
        <w:rPr>
          <w:rFonts w:ascii="Times" w:eastAsia="Times New Roman" w:hAnsi="Times"/>
          <w:color w:val="auto"/>
          <w:sz w:val="20"/>
          <w:szCs w:val="20"/>
        </w:rPr>
      </w:pPr>
      <w:r w:rsidRPr="00F26720">
        <w:rPr>
          <w:rFonts w:ascii="Arial" w:eastAsia="Times New Roman" w:hAnsi="Arial"/>
          <w:i/>
          <w:iCs/>
          <w:color w:val="666666"/>
          <w:sz w:val="21"/>
          <w:szCs w:val="21"/>
          <w:shd w:val="clear" w:color="auto" w:fill="FFFFFF"/>
        </w:rPr>
        <w:t xml:space="preserve">IT Services Company. </w:t>
      </w:r>
      <w:proofErr w:type="gramStart"/>
      <w:r w:rsidRPr="00F26720">
        <w:rPr>
          <w:rFonts w:ascii="Arial" w:eastAsia="Times New Roman" w:hAnsi="Arial"/>
          <w:i/>
          <w:iCs/>
          <w:color w:val="666666"/>
          <w:sz w:val="21"/>
          <w:szCs w:val="21"/>
          <w:shd w:val="clear" w:color="auto" w:fill="FFFFFF"/>
        </w:rPr>
        <w:t>IT Support &amp; Consulting.</w:t>
      </w:r>
      <w:proofErr w:type="gramEnd"/>
      <w:r w:rsidRPr="00F26720">
        <w:rPr>
          <w:rFonts w:ascii="Arial" w:eastAsia="Times New Roman" w:hAnsi="Arial"/>
          <w:i/>
          <w:iCs/>
          <w:color w:val="666666"/>
          <w:sz w:val="21"/>
          <w:szCs w:val="21"/>
          <w:shd w:val="clear" w:color="auto" w:fill="FFFFFF"/>
        </w:rPr>
        <w:t xml:space="preserve"> All Covered.</w:t>
      </w:r>
      <w:r w:rsidRPr="00F26720">
        <w:rPr>
          <w:rFonts w:ascii="Arial" w:eastAsia="Times New Roman" w:hAnsi="Arial"/>
          <w:color w:val="666666"/>
          <w:sz w:val="21"/>
          <w:szCs w:val="21"/>
          <w:shd w:val="clear" w:color="auto" w:fill="FFFFFF"/>
        </w:rPr>
        <w:t> Web. &lt;http://www.allcovered.com/pdf/vmware-benefits.pdf&gt;.</w:t>
      </w:r>
    </w:p>
    <w:p w14:paraId="53BB94F4" w14:textId="77777777" w:rsidR="00F26720" w:rsidRPr="00F26720" w:rsidRDefault="00F26720" w:rsidP="00F26720">
      <w:pPr>
        <w:rPr>
          <w:rFonts w:ascii="Times" w:eastAsia="Times New Roman" w:hAnsi="Times"/>
          <w:color w:val="auto"/>
          <w:sz w:val="20"/>
          <w:szCs w:val="20"/>
        </w:rPr>
      </w:pPr>
    </w:p>
    <w:p w14:paraId="0772CFBC" w14:textId="43A70858" w:rsidR="001741A3" w:rsidRPr="007E107F" w:rsidRDefault="001741A3" w:rsidP="001741A3">
      <w:pPr>
        <w:rPr>
          <w:rFonts w:ascii="Times" w:eastAsia="Times New Roman" w:hAnsi="Times"/>
          <w:color w:val="auto"/>
          <w:sz w:val="20"/>
          <w:szCs w:val="20"/>
        </w:rPr>
      </w:pPr>
    </w:p>
    <w:p w14:paraId="3664D8EA" w14:textId="77777777" w:rsidR="007E107F" w:rsidRPr="007E107F" w:rsidRDefault="007E107F" w:rsidP="007E107F">
      <w:pPr>
        <w:rPr>
          <w:rFonts w:ascii="Times" w:eastAsia="Times New Roman" w:hAnsi="Times"/>
          <w:color w:val="auto"/>
          <w:sz w:val="20"/>
          <w:szCs w:val="20"/>
        </w:rPr>
      </w:pPr>
    </w:p>
    <w:p w14:paraId="55E25C1A" w14:textId="77777777" w:rsidR="007E107F" w:rsidRPr="00B93603" w:rsidRDefault="007E107F" w:rsidP="00220AB0">
      <w:pPr>
        <w:spacing w:line="480" w:lineRule="auto"/>
        <w:rPr>
          <w:b/>
        </w:rPr>
      </w:pPr>
    </w:p>
    <w:sectPr w:rsidR="007E107F" w:rsidRPr="00B93603" w:rsidSect="00973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0"/>
    <w:rsid w:val="000C1286"/>
    <w:rsid w:val="001741A3"/>
    <w:rsid w:val="00220AB0"/>
    <w:rsid w:val="002B7C0E"/>
    <w:rsid w:val="004025EE"/>
    <w:rsid w:val="004D695C"/>
    <w:rsid w:val="00515BD0"/>
    <w:rsid w:val="00530E93"/>
    <w:rsid w:val="005C4668"/>
    <w:rsid w:val="00715787"/>
    <w:rsid w:val="007E107F"/>
    <w:rsid w:val="00973101"/>
    <w:rsid w:val="00B93603"/>
    <w:rsid w:val="00C650DC"/>
    <w:rsid w:val="00C94FE9"/>
    <w:rsid w:val="00D45903"/>
    <w:rsid w:val="00D81017"/>
    <w:rsid w:val="00F26720"/>
    <w:rsid w:val="00F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42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03"/>
    <w:rPr>
      <w:rFonts w:asciiTheme="minorHAnsi" w:hAnsiTheme="minorHAnsi" w:cstheme="minorBidi"/>
      <w:color w:val="aut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03"/>
    <w:rPr>
      <w:rFonts w:asciiTheme="minorHAnsi" w:hAnsiTheme="minorHAnsi" w:cstheme="minorBidi"/>
      <w:color w:val="aut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2028</Characters>
  <Application>Microsoft Macintosh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Temp</dc:creator>
  <cp:keywords/>
  <dc:description/>
  <cp:lastModifiedBy>Ryan Temp</cp:lastModifiedBy>
  <cp:revision>2</cp:revision>
  <dcterms:created xsi:type="dcterms:W3CDTF">2017-03-02T04:03:00Z</dcterms:created>
  <dcterms:modified xsi:type="dcterms:W3CDTF">2017-03-02T04:03:00Z</dcterms:modified>
</cp:coreProperties>
</file>