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3F712" w14:textId="77777777" w:rsidR="00A3066B" w:rsidRPr="00794290" w:rsidRDefault="00A3066B" w:rsidP="00A3066B">
      <w:pPr>
        <w:spacing w:after="120" w:line="360" w:lineRule="auto"/>
        <w:rPr>
          <w:rFonts w:ascii="Times New Roman" w:hAnsi="Times New Roman" w:cs="Times New Roman"/>
        </w:rPr>
      </w:pPr>
      <w:proofErr w:type="spellStart"/>
      <w:r w:rsidRPr="00794290">
        <w:rPr>
          <w:rFonts w:ascii="Times New Roman" w:hAnsi="Times New Roman" w:cs="Times New Roman"/>
        </w:rPr>
        <w:t>Riwen</w:t>
      </w:r>
      <w:proofErr w:type="spellEnd"/>
      <w:r w:rsidRPr="00794290">
        <w:rPr>
          <w:rFonts w:ascii="Times New Roman" w:hAnsi="Times New Roman" w:cs="Times New Roman"/>
        </w:rPr>
        <w:t xml:space="preserve"> Zhang</w:t>
      </w:r>
    </w:p>
    <w:p w14:paraId="0CA18C17" w14:textId="3C557C04" w:rsidR="00F81E02" w:rsidRPr="00794290" w:rsidRDefault="00582469" w:rsidP="00DC350D">
      <w:pPr>
        <w:spacing w:after="120" w:line="360" w:lineRule="auto"/>
        <w:rPr>
          <w:rFonts w:ascii="Times New Roman" w:hAnsi="Times New Roman" w:cs="Times New Roman"/>
        </w:rPr>
      </w:pPr>
      <w:r w:rsidRPr="00794290">
        <w:rPr>
          <w:rFonts w:ascii="Times New Roman" w:hAnsi="Times New Roman" w:cs="Times New Roman"/>
        </w:rPr>
        <w:t xml:space="preserve">Flash Assignment: </w:t>
      </w:r>
      <w:r w:rsidR="00E5065F">
        <w:rPr>
          <w:rFonts w:ascii="Times New Roman" w:hAnsi="Times New Roman" w:cs="Times New Roman"/>
        </w:rPr>
        <w:t xml:space="preserve">#1 </w:t>
      </w:r>
      <w:r w:rsidRPr="00794290">
        <w:rPr>
          <w:rFonts w:ascii="Times New Roman" w:hAnsi="Times New Roman" w:cs="Times New Roman"/>
        </w:rPr>
        <w:t>Data Center and Networking</w:t>
      </w:r>
    </w:p>
    <w:p w14:paraId="787EBCC3" w14:textId="4CBA535E" w:rsidR="00294573" w:rsidRDefault="00A3066B" w:rsidP="00DC350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10, 2105</w:t>
      </w:r>
    </w:p>
    <w:p w14:paraId="55C0BE34" w14:textId="77777777" w:rsidR="00062DDD" w:rsidRPr="00794290" w:rsidRDefault="00062DDD" w:rsidP="00DC350D">
      <w:pPr>
        <w:spacing w:after="120" w:line="360" w:lineRule="auto"/>
        <w:rPr>
          <w:rFonts w:ascii="Times New Roman" w:hAnsi="Times New Roman" w:cs="Times New Roman"/>
        </w:rPr>
      </w:pPr>
    </w:p>
    <w:p w14:paraId="311C8E69" w14:textId="46C79BE0" w:rsidR="00294573" w:rsidRPr="00794290" w:rsidRDefault="00177583" w:rsidP="00DC350D">
      <w:pPr>
        <w:spacing w:after="12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upgrading our</w:t>
      </w:r>
      <w:r w:rsidR="00693C6C">
        <w:rPr>
          <w:rFonts w:ascii="Times New Roman" w:hAnsi="Times New Roman" w:cs="Times New Roman"/>
        </w:rPr>
        <w:t xml:space="preserve"> current</w:t>
      </w:r>
      <w:r>
        <w:rPr>
          <w:rFonts w:ascii="Times New Roman" w:hAnsi="Times New Roman" w:cs="Times New Roman"/>
        </w:rPr>
        <w:t xml:space="preserve"> ERP system to an improved </w:t>
      </w:r>
      <w:r w:rsidRPr="00A30E93">
        <w:rPr>
          <w:rFonts w:ascii="Times New Roman" w:hAnsi="Times New Roman" w:cs="Times New Roman"/>
        </w:rPr>
        <w:t>Tier III data center</w:t>
      </w:r>
      <w:r w:rsidR="004579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D2BB2">
        <w:rPr>
          <w:rFonts w:ascii="Times New Roman" w:hAnsi="Times New Roman" w:cs="Times New Roman"/>
        </w:rPr>
        <w:t>we can potentially save the net benefit</w:t>
      </w:r>
      <w:r>
        <w:rPr>
          <w:rFonts w:ascii="Times New Roman" w:hAnsi="Times New Roman" w:cs="Times New Roman"/>
        </w:rPr>
        <w:t xml:space="preserve"> of over </w:t>
      </w:r>
      <w:r w:rsidR="00666F2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13 million during the three-year period. </w:t>
      </w:r>
      <w:r w:rsidR="001F7124">
        <w:rPr>
          <w:rFonts w:ascii="Times New Roman" w:hAnsi="Times New Roman" w:cs="Times New Roman"/>
        </w:rPr>
        <w:t>Unplanned data center outages have resulted in staggering losses for our company. The cost of downtime continues to grow.</w:t>
      </w:r>
      <w:r w:rsidR="001D3DB3" w:rsidRPr="001D3DB3">
        <w:rPr>
          <w:rFonts w:ascii="Times New Roman" w:hAnsi="Times New Roman" w:cs="Times New Roman"/>
        </w:rPr>
        <w:t xml:space="preserve"> </w:t>
      </w:r>
      <w:r w:rsidR="001D3DB3" w:rsidRPr="00A30E93">
        <w:rPr>
          <w:rFonts w:ascii="Times New Roman" w:hAnsi="Times New Roman" w:cs="Times New Roman"/>
        </w:rPr>
        <w:t>Tier III data center</w:t>
      </w:r>
      <w:r w:rsidR="001D3DB3">
        <w:rPr>
          <w:rFonts w:ascii="Times New Roman" w:hAnsi="Times New Roman" w:cs="Times New Roman"/>
        </w:rPr>
        <w:t xml:space="preserve"> will significantly reduce such outages.</w:t>
      </w:r>
      <w:r w:rsidR="001F7124">
        <w:rPr>
          <w:rFonts w:ascii="Times New Roman" w:hAnsi="Times New Roman" w:cs="Times New Roman"/>
        </w:rPr>
        <w:t xml:space="preserve"> In order to reduce downtime cost and improve company’s operational efficiency,</w:t>
      </w:r>
      <w:r w:rsidR="001D3DB3">
        <w:rPr>
          <w:rFonts w:ascii="Times New Roman" w:hAnsi="Times New Roman" w:cs="Times New Roman"/>
        </w:rPr>
        <w:t xml:space="preserve"> we must</w:t>
      </w:r>
      <w:r w:rsidR="009D2BB2">
        <w:rPr>
          <w:rFonts w:ascii="Times New Roman" w:hAnsi="Times New Roman" w:cs="Times New Roman"/>
        </w:rPr>
        <w:t xml:space="preserve"> take this investment</w:t>
      </w:r>
      <w:r w:rsidR="00387A5E">
        <w:rPr>
          <w:rFonts w:ascii="Times New Roman" w:hAnsi="Times New Roman" w:cs="Times New Roman"/>
        </w:rPr>
        <w:t>.</w:t>
      </w:r>
    </w:p>
    <w:p w14:paraId="2F901881" w14:textId="6C7095DE" w:rsidR="00294573" w:rsidRDefault="00D92AD1" w:rsidP="00DC350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3729">
        <w:rPr>
          <w:rFonts w:ascii="Times New Roman" w:hAnsi="Times New Roman" w:cs="Times New Roman"/>
        </w:rPr>
        <w:t xml:space="preserve">Our current Tier </w:t>
      </w:r>
      <w:r w:rsidR="00993729" w:rsidRPr="00794290">
        <w:rPr>
          <w:rFonts w:ascii="Times New Roman" w:hAnsi="Times New Roman" w:cs="Times New Roman"/>
        </w:rPr>
        <w:t>I</w:t>
      </w:r>
      <w:r w:rsidR="00993729">
        <w:rPr>
          <w:rFonts w:ascii="Times New Roman" w:hAnsi="Times New Roman" w:cs="Times New Roman"/>
        </w:rPr>
        <w:t xml:space="preserve"> </w:t>
      </w:r>
      <w:r w:rsidR="00094AC6">
        <w:rPr>
          <w:rFonts w:ascii="Times New Roman" w:hAnsi="Times New Roman" w:cs="Times New Roman" w:hint="eastAsia"/>
        </w:rPr>
        <w:t>system</w:t>
      </w:r>
      <w:r w:rsidR="00993729">
        <w:rPr>
          <w:rFonts w:ascii="Times New Roman" w:hAnsi="Times New Roman" w:cs="Times New Roman"/>
        </w:rPr>
        <w:t xml:space="preserve"> has a singular distribution path and only fulfills short-term requirements of the system.</w:t>
      </w:r>
      <w:r w:rsidR="00A71F0E">
        <w:rPr>
          <w:rFonts w:ascii="Times New Roman" w:hAnsi="Times New Roman" w:cs="Times New Roman"/>
        </w:rPr>
        <w:t xml:space="preserve"> Last year, o</w:t>
      </w:r>
      <w:r w:rsidR="0045798E" w:rsidRPr="00794290">
        <w:rPr>
          <w:rFonts w:ascii="Times New Roman" w:hAnsi="Times New Roman" w:cs="Times New Roman"/>
        </w:rPr>
        <w:t>ur</w:t>
      </w:r>
      <w:r w:rsidR="0045798E">
        <w:rPr>
          <w:rFonts w:ascii="Times New Roman" w:hAnsi="Times New Roman" w:cs="Times New Roman"/>
        </w:rPr>
        <w:t xml:space="preserve"> ERP</w:t>
      </w:r>
      <w:r w:rsidR="0045798E" w:rsidRPr="00794290">
        <w:rPr>
          <w:rFonts w:ascii="Times New Roman" w:hAnsi="Times New Roman" w:cs="Times New Roman"/>
        </w:rPr>
        <w:t xml:space="preserve"> </w:t>
      </w:r>
      <w:r w:rsidR="0045798E">
        <w:rPr>
          <w:rFonts w:ascii="Times New Roman" w:hAnsi="Times New Roman" w:cs="Times New Roman"/>
        </w:rPr>
        <w:t>system shut down ten times under this</w:t>
      </w:r>
      <w:r w:rsidR="0045798E" w:rsidRPr="00794290">
        <w:rPr>
          <w:rFonts w:ascii="Times New Roman" w:hAnsi="Times New Roman" w:cs="Times New Roman"/>
        </w:rPr>
        <w:t xml:space="preserve"> Tier I</w:t>
      </w:r>
      <w:r w:rsidR="00A71F0E">
        <w:rPr>
          <w:rFonts w:ascii="Times New Roman" w:hAnsi="Times New Roman" w:cs="Times New Roman"/>
        </w:rPr>
        <w:t xml:space="preserve"> data center</w:t>
      </w:r>
      <w:r w:rsidR="0045798E">
        <w:rPr>
          <w:rFonts w:ascii="Times New Roman" w:hAnsi="Times New Roman" w:cs="Times New Roman"/>
        </w:rPr>
        <w:t xml:space="preserve">. The </w:t>
      </w:r>
      <w:r w:rsidR="0045798E" w:rsidRPr="00A30E93">
        <w:rPr>
          <w:rFonts w:ascii="Times New Roman" w:hAnsi="Times New Roman" w:cs="Times New Roman"/>
        </w:rPr>
        <w:t xml:space="preserve">Tier III </w:t>
      </w:r>
      <w:r w:rsidR="0045798E">
        <w:rPr>
          <w:rFonts w:ascii="Times New Roman" w:hAnsi="Times New Roman" w:cs="Times New Roman"/>
        </w:rPr>
        <w:t>data center will help us out from this terrible situation.</w:t>
      </w:r>
      <w:r w:rsidR="00993729">
        <w:rPr>
          <w:rFonts w:ascii="Times New Roman" w:hAnsi="Times New Roman" w:cs="Times New Roman"/>
        </w:rPr>
        <w:t xml:space="preserve"> </w:t>
      </w:r>
      <w:r w:rsidR="0045798E">
        <w:rPr>
          <w:rFonts w:ascii="Times New Roman" w:hAnsi="Times New Roman" w:cs="Times New Roman"/>
        </w:rPr>
        <w:t>Basically, t</w:t>
      </w:r>
      <w:r w:rsidR="001833D2">
        <w:rPr>
          <w:rFonts w:ascii="Times New Roman" w:hAnsi="Times New Roman" w:cs="Times New Roman"/>
        </w:rPr>
        <w:t xml:space="preserve">he </w:t>
      </w:r>
      <w:r w:rsidR="001833D2" w:rsidRPr="00A30E93">
        <w:rPr>
          <w:rFonts w:ascii="Times New Roman" w:hAnsi="Times New Roman" w:cs="Times New Roman"/>
        </w:rPr>
        <w:t xml:space="preserve">Tier III </w:t>
      </w:r>
      <w:r w:rsidR="00666F2E">
        <w:rPr>
          <w:rFonts w:ascii="Times New Roman" w:hAnsi="Times New Roman" w:cs="Times New Roman"/>
        </w:rPr>
        <w:t>data center</w:t>
      </w:r>
      <w:r w:rsidR="001833D2">
        <w:rPr>
          <w:rFonts w:ascii="Times New Roman" w:hAnsi="Times New Roman" w:cs="Times New Roman"/>
        </w:rPr>
        <w:t xml:space="preserve"> is a concurrently mai</w:t>
      </w:r>
      <w:r w:rsidR="00A71F0E">
        <w:rPr>
          <w:rFonts w:ascii="Times New Roman" w:hAnsi="Times New Roman" w:cs="Times New Roman"/>
        </w:rPr>
        <w:t xml:space="preserve">ntainable data center that has </w:t>
      </w:r>
      <w:r w:rsidR="001833D2">
        <w:rPr>
          <w:rFonts w:ascii="Times New Roman" w:hAnsi="Times New Roman" w:cs="Times New Roman"/>
        </w:rPr>
        <w:t>redundant capacity components and multiple independent distribution paths</w:t>
      </w:r>
      <w:r w:rsidR="00DC350D">
        <w:rPr>
          <w:rFonts w:ascii="Times New Roman" w:hAnsi="Times New Roman" w:cs="Times New Roman"/>
        </w:rPr>
        <w:t>, which make it more reliable than</w:t>
      </w:r>
      <w:r w:rsidR="00693C6C">
        <w:rPr>
          <w:rFonts w:ascii="Times New Roman" w:hAnsi="Times New Roman" w:cs="Times New Roman"/>
        </w:rPr>
        <w:t xml:space="preserve"> a</w:t>
      </w:r>
      <w:r w:rsidR="00DC350D">
        <w:rPr>
          <w:rFonts w:ascii="Times New Roman" w:hAnsi="Times New Roman" w:cs="Times New Roman"/>
        </w:rPr>
        <w:t xml:space="preserve"> Tier </w:t>
      </w:r>
      <w:r w:rsidR="00DC350D" w:rsidRPr="00794290">
        <w:rPr>
          <w:rFonts w:ascii="Times New Roman" w:hAnsi="Times New Roman" w:cs="Times New Roman"/>
        </w:rPr>
        <w:t>I</w:t>
      </w:r>
      <w:r w:rsidR="00666F2E">
        <w:rPr>
          <w:rFonts w:ascii="Times New Roman" w:hAnsi="Times New Roman" w:cs="Times New Roman"/>
        </w:rPr>
        <w:t xml:space="preserve"> data center</w:t>
      </w:r>
      <w:r w:rsidR="00C05B19">
        <w:rPr>
          <w:rFonts w:ascii="Times New Roman" w:hAnsi="Times New Roman" w:cs="Times New Roman"/>
        </w:rPr>
        <w:t xml:space="preserve">. </w:t>
      </w:r>
      <w:r w:rsidR="00693C6C">
        <w:rPr>
          <w:rFonts w:ascii="Times New Roman" w:hAnsi="Times New Roman" w:cs="Times New Roman"/>
        </w:rPr>
        <w:t>The availability could be improved from 99.67% to 99.98%</w:t>
      </w:r>
      <w:r w:rsidR="0045798E">
        <w:rPr>
          <w:rFonts w:ascii="Times New Roman" w:hAnsi="Times New Roman" w:cs="Times New Roman"/>
        </w:rPr>
        <w:t xml:space="preserve"> (</w:t>
      </w:r>
      <w:r w:rsidR="001F7124">
        <w:rPr>
          <w:rFonts w:ascii="Times New Roman" w:hAnsi="Times New Roman" w:cs="Times New Roman"/>
        </w:rPr>
        <w:t xml:space="preserve">which </w:t>
      </w:r>
      <w:r w:rsidR="0045798E">
        <w:rPr>
          <w:rFonts w:ascii="Times New Roman" w:hAnsi="Times New Roman" w:cs="Times New Roman"/>
        </w:rPr>
        <w:t>will significantly increase by 0.31%)</w:t>
      </w:r>
      <w:r w:rsidR="00693C6C">
        <w:rPr>
          <w:rFonts w:ascii="Times New Roman" w:hAnsi="Times New Roman" w:cs="Times New Roman"/>
        </w:rPr>
        <w:t>. In this case, the downtime minutes will be reduced</w:t>
      </w:r>
      <w:r w:rsidR="00A71F0E">
        <w:rPr>
          <w:rFonts w:ascii="Times New Roman" w:hAnsi="Times New Roman" w:cs="Times New Roman"/>
        </w:rPr>
        <w:t xml:space="preserve"> dramatically</w:t>
      </w:r>
      <w:r w:rsidR="00693C6C">
        <w:rPr>
          <w:rFonts w:ascii="Times New Roman" w:hAnsi="Times New Roman" w:cs="Times New Roman"/>
        </w:rPr>
        <w:t xml:space="preserve">. </w:t>
      </w:r>
      <w:r w:rsidR="00993729">
        <w:rPr>
          <w:rFonts w:ascii="Times New Roman" w:hAnsi="Times New Roman" w:cs="Times New Roman"/>
        </w:rPr>
        <w:t>At any given time</w:t>
      </w:r>
      <w:r w:rsidR="00C05B19">
        <w:rPr>
          <w:rFonts w:ascii="Times New Roman" w:hAnsi="Times New Roman" w:cs="Times New Roman"/>
        </w:rPr>
        <w:t xml:space="preserve">, only one distribution path is required </w:t>
      </w:r>
      <w:r w:rsidR="001833D2">
        <w:rPr>
          <w:rFonts w:ascii="Times New Roman" w:hAnsi="Times New Roman" w:cs="Times New Roman"/>
        </w:rPr>
        <w:t>to serve the system.</w:t>
      </w:r>
      <w:r w:rsidR="00693C6C">
        <w:rPr>
          <w:rFonts w:ascii="Times New Roman" w:hAnsi="Times New Roman" w:cs="Times New Roman"/>
        </w:rPr>
        <w:t xml:space="preserve"> It </w:t>
      </w:r>
      <w:r w:rsidR="00C05B19">
        <w:rPr>
          <w:rFonts w:ascii="Times New Roman" w:hAnsi="Times New Roman" w:cs="Times New Roman"/>
        </w:rPr>
        <w:t>means</w:t>
      </w:r>
      <w:r w:rsidR="00693C6C">
        <w:rPr>
          <w:rFonts w:ascii="Times New Roman" w:hAnsi="Times New Roman" w:cs="Times New Roman"/>
        </w:rPr>
        <w:t xml:space="preserve"> </w:t>
      </w:r>
      <w:r w:rsidR="00993729">
        <w:rPr>
          <w:rFonts w:ascii="Times New Roman" w:hAnsi="Times New Roman" w:cs="Times New Roman"/>
        </w:rPr>
        <w:t>that</w:t>
      </w:r>
      <w:r w:rsidR="00C05B19">
        <w:rPr>
          <w:rFonts w:ascii="Times New Roman" w:hAnsi="Times New Roman" w:cs="Times New Roman"/>
        </w:rPr>
        <w:t xml:space="preserve"> </w:t>
      </w:r>
      <w:r w:rsidR="00A71F0E">
        <w:rPr>
          <w:rFonts w:ascii="Times New Roman" w:hAnsi="Times New Roman" w:cs="Times New Roman"/>
        </w:rPr>
        <w:t xml:space="preserve">unscheduled </w:t>
      </w:r>
      <w:r w:rsidR="00C05B19">
        <w:rPr>
          <w:rFonts w:ascii="Times New Roman" w:hAnsi="Times New Roman" w:cs="Times New Roman"/>
        </w:rPr>
        <w:t>s</w:t>
      </w:r>
      <w:r w:rsidR="00F103B9">
        <w:rPr>
          <w:rFonts w:ascii="Times New Roman" w:hAnsi="Times New Roman" w:cs="Times New Roman"/>
        </w:rPr>
        <w:t>hutdowns</w:t>
      </w:r>
      <w:r w:rsidR="00666F2E">
        <w:rPr>
          <w:rFonts w:ascii="Times New Roman" w:hAnsi="Times New Roman" w:cs="Times New Roman"/>
        </w:rPr>
        <w:t xml:space="preserve"> would no longer occur</w:t>
      </w:r>
      <w:r w:rsidR="00F103B9">
        <w:rPr>
          <w:rFonts w:ascii="Times New Roman" w:hAnsi="Times New Roman" w:cs="Times New Roman"/>
        </w:rPr>
        <w:t>.</w:t>
      </w:r>
      <w:r w:rsidR="00C05B19">
        <w:rPr>
          <w:rFonts w:ascii="Times New Roman" w:hAnsi="Times New Roman" w:cs="Times New Roman"/>
        </w:rPr>
        <w:t xml:space="preserve"> We can repair or remove </w:t>
      </w:r>
      <w:r w:rsidR="00693C6C">
        <w:rPr>
          <w:rFonts w:ascii="Times New Roman" w:hAnsi="Times New Roman" w:cs="Times New Roman"/>
        </w:rPr>
        <w:t xml:space="preserve">each </w:t>
      </w:r>
      <w:r w:rsidR="00DC350D">
        <w:rPr>
          <w:rFonts w:ascii="Times New Roman" w:hAnsi="Times New Roman" w:cs="Times New Roman"/>
        </w:rPr>
        <w:t>component of</w:t>
      </w:r>
      <w:r w:rsidR="00993729">
        <w:rPr>
          <w:rFonts w:ascii="Times New Roman" w:hAnsi="Times New Roman" w:cs="Times New Roman"/>
        </w:rPr>
        <w:t xml:space="preserve"> </w:t>
      </w:r>
      <w:r w:rsidR="00C05B19">
        <w:rPr>
          <w:rFonts w:ascii="Times New Roman" w:hAnsi="Times New Roman" w:cs="Times New Roman"/>
        </w:rPr>
        <w:t xml:space="preserve">the system at any time without </w:t>
      </w:r>
      <w:r w:rsidR="00DC350D">
        <w:rPr>
          <w:rFonts w:ascii="Times New Roman" w:hAnsi="Times New Roman" w:cs="Times New Roman"/>
        </w:rPr>
        <w:t>shutting the whole system down</w:t>
      </w:r>
      <w:r w:rsidR="00C05B19">
        <w:rPr>
          <w:rFonts w:ascii="Times New Roman" w:hAnsi="Times New Roman" w:cs="Times New Roman"/>
        </w:rPr>
        <w:t>.</w:t>
      </w:r>
      <w:r w:rsidR="00693C6C">
        <w:rPr>
          <w:rFonts w:ascii="Times New Roman" w:hAnsi="Times New Roman" w:cs="Times New Roman"/>
        </w:rPr>
        <w:t xml:space="preserve"> </w:t>
      </w:r>
    </w:p>
    <w:p w14:paraId="4608D5D8" w14:textId="562A02DB" w:rsidR="00DC350D" w:rsidRDefault="00DC350D" w:rsidP="00DC350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7124">
        <w:rPr>
          <w:rFonts w:ascii="Times New Roman" w:hAnsi="Times New Roman" w:cs="Times New Roman"/>
        </w:rPr>
        <w:t>Last year,</w:t>
      </w:r>
      <w:r w:rsidR="001F7124" w:rsidRPr="00794290">
        <w:rPr>
          <w:rFonts w:ascii="Times New Roman" w:hAnsi="Times New Roman" w:cs="Times New Roman"/>
        </w:rPr>
        <w:t xml:space="preserve"> we have lost over </w:t>
      </w:r>
      <w:r w:rsidR="00D031B6">
        <w:rPr>
          <w:rFonts w:ascii="Times New Roman" w:hAnsi="Times New Roman" w:cs="Times New Roman"/>
        </w:rPr>
        <w:t>$</w:t>
      </w:r>
      <w:r w:rsidR="001F7124" w:rsidRPr="00794290">
        <w:rPr>
          <w:rFonts w:ascii="Times New Roman" w:hAnsi="Times New Roman" w:cs="Times New Roman"/>
        </w:rPr>
        <w:t xml:space="preserve">25 million </w:t>
      </w:r>
      <w:r w:rsidR="001F7124">
        <w:rPr>
          <w:rFonts w:ascii="Times New Roman" w:hAnsi="Times New Roman" w:cs="Times New Roman"/>
        </w:rPr>
        <w:t xml:space="preserve">for 10 outages. </w:t>
      </w:r>
      <w:r w:rsidR="0045798E">
        <w:rPr>
          <w:rFonts w:ascii="Times New Roman" w:hAnsi="Times New Roman" w:cs="Times New Roman"/>
        </w:rPr>
        <w:t xml:space="preserve">Upgrading to a </w:t>
      </w:r>
      <w:r w:rsidR="0045798E" w:rsidRPr="00A30E93">
        <w:rPr>
          <w:rFonts w:ascii="Times New Roman" w:hAnsi="Times New Roman" w:cs="Times New Roman"/>
        </w:rPr>
        <w:t>Tier III</w:t>
      </w:r>
      <w:r w:rsidR="0045798E">
        <w:rPr>
          <w:rFonts w:ascii="Times New Roman" w:hAnsi="Times New Roman" w:cs="Times New Roman"/>
        </w:rPr>
        <w:t xml:space="preserve"> data center will cost about $35 million, which</w:t>
      </w:r>
      <w:r w:rsidR="007F7E13">
        <w:rPr>
          <w:rFonts w:ascii="Times New Roman" w:hAnsi="Times New Roman" w:cs="Times New Roman"/>
        </w:rPr>
        <w:t xml:space="preserve"> seem</w:t>
      </w:r>
      <w:r w:rsidR="0045798E">
        <w:rPr>
          <w:rFonts w:ascii="Times New Roman" w:hAnsi="Times New Roman" w:cs="Times New Roman"/>
        </w:rPr>
        <w:t>s</w:t>
      </w:r>
      <w:r w:rsidR="007F7E13">
        <w:rPr>
          <w:rFonts w:ascii="Times New Roman" w:hAnsi="Times New Roman" w:cs="Times New Roman"/>
        </w:rPr>
        <w:t xml:space="preserve"> like a lot</w:t>
      </w:r>
      <w:r w:rsidR="00693C6C">
        <w:rPr>
          <w:rFonts w:ascii="Times New Roman" w:hAnsi="Times New Roman" w:cs="Times New Roman"/>
        </w:rPr>
        <w:t xml:space="preserve">. However, </w:t>
      </w:r>
      <w:r w:rsidR="008F124C">
        <w:rPr>
          <w:rFonts w:ascii="Times New Roman" w:hAnsi="Times New Roman" w:cs="Times New Roman"/>
        </w:rPr>
        <w:t xml:space="preserve">we can save more than </w:t>
      </w:r>
      <w:r w:rsidR="00666F2E">
        <w:rPr>
          <w:rFonts w:ascii="Times New Roman" w:hAnsi="Times New Roman" w:cs="Times New Roman"/>
        </w:rPr>
        <w:t>$</w:t>
      </w:r>
      <w:r w:rsidR="008F124C">
        <w:rPr>
          <w:rFonts w:ascii="Times New Roman" w:hAnsi="Times New Roman" w:cs="Times New Roman"/>
        </w:rPr>
        <w:t>24 millions on a yearly basis</w:t>
      </w:r>
      <w:r w:rsidR="00693C6C" w:rsidRPr="00693C6C">
        <w:rPr>
          <w:rFonts w:ascii="Times New Roman" w:hAnsi="Times New Roman" w:cs="Times New Roman"/>
        </w:rPr>
        <w:t xml:space="preserve"> </w:t>
      </w:r>
      <w:r w:rsidR="00A71F0E">
        <w:rPr>
          <w:rFonts w:ascii="Times New Roman" w:hAnsi="Times New Roman" w:cs="Times New Roman"/>
        </w:rPr>
        <w:t>if</w:t>
      </w:r>
      <w:r w:rsidR="00693C6C">
        <w:rPr>
          <w:rFonts w:ascii="Times New Roman" w:hAnsi="Times New Roman" w:cs="Times New Roman"/>
        </w:rPr>
        <w:t xml:space="preserve"> implement</w:t>
      </w:r>
      <w:r w:rsidR="00A71F0E">
        <w:rPr>
          <w:rFonts w:ascii="Times New Roman" w:hAnsi="Times New Roman" w:cs="Times New Roman"/>
        </w:rPr>
        <w:t>ing</w:t>
      </w:r>
      <w:r w:rsidR="00693C6C">
        <w:rPr>
          <w:rFonts w:ascii="Times New Roman" w:hAnsi="Times New Roman" w:cs="Times New Roman"/>
        </w:rPr>
        <w:t xml:space="preserve"> a </w:t>
      </w:r>
      <w:r w:rsidR="00693C6C" w:rsidRPr="00A30E93">
        <w:rPr>
          <w:rFonts w:ascii="Times New Roman" w:hAnsi="Times New Roman" w:cs="Times New Roman"/>
        </w:rPr>
        <w:t>Tier III</w:t>
      </w:r>
      <w:r w:rsidR="00693C6C">
        <w:rPr>
          <w:rFonts w:ascii="Times New Roman" w:hAnsi="Times New Roman" w:cs="Times New Roman"/>
        </w:rPr>
        <w:t xml:space="preserve"> data center</w:t>
      </w:r>
      <w:r w:rsidR="008F124C">
        <w:rPr>
          <w:rFonts w:ascii="Times New Roman" w:hAnsi="Times New Roman" w:cs="Times New Roman"/>
        </w:rPr>
        <w:t xml:space="preserve">. </w:t>
      </w:r>
      <w:r w:rsidR="00666F2E">
        <w:rPr>
          <w:rFonts w:ascii="Times New Roman" w:hAnsi="Times New Roman" w:cs="Times New Roman"/>
        </w:rPr>
        <w:t>W</w:t>
      </w:r>
      <w:r w:rsidR="00C94B36">
        <w:rPr>
          <w:rFonts w:ascii="Times New Roman" w:hAnsi="Times New Roman" w:cs="Times New Roman"/>
        </w:rPr>
        <w:t>e</w:t>
      </w:r>
      <w:r w:rsidR="00C772FE">
        <w:rPr>
          <w:rFonts w:ascii="Times New Roman" w:hAnsi="Times New Roman" w:cs="Times New Roman"/>
        </w:rPr>
        <w:t xml:space="preserve"> estimate the net benefit to be </w:t>
      </w:r>
      <w:r w:rsidR="00666F2E">
        <w:rPr>
          <w:rFonts w:ascii="Times New Roman" w:hAnsi="Times New Roman" w:cs="Times New Roman"/>
        </w:rPr>
        <w:t>$13 million</w:t>
      </w:r>
      <w:r w:rsidR="00C772FE">
        <w:rPr>
          <w:rFonts w:ascii="Times New Roman" w:hAnsi="Times New Roman" w:cs="Times New Roman"/>
        </w:rPr>
        <w:t xml:space="preserve"> by the end of year three.</w:t>
      </w:r>
      <w:r w:rsidR="001F7124" w:rsidRPr="001F7124">
        <w:rPr>
          <w:rFonts w:ascii="Times New Roman" w:hAnsi="Times New Roman" w:cs="Times New Roman"/>
        </w:rPr>
        <w:t xml:space="preserve"> </w:t>
      </w:r>
      <w:r w:rsidR="001F7124">
        <w:rPr>
          <w:rFonts w:ascii="Times New Roman" w:hAnsi="Times New Roman" w:cs="Times New Roman"/>
        </w:rPr>
        <w:t>In order to</w:t>
      </w:r>
      <w:r w:rsidR="001F7124">
        <w:rPr>
          <w:rFonts w:ascii="Times New Roman" w:hAnsi="Times New Roman" w:cs="Times New Roman" w:hint="eastAsia"/>
        </w:rPr>
        <w:t xml:space="preserve"> support our</w:t>
      </w:r>
      <w:r w:rsidR="001F7124">
        <w:rPr>
          <w:rFonts w:ascii="Times New Roman" w:hAnsi="Times New Roman" w:cs="Times New Roman"/>
        </w:rPr>
        <w:t xml:space="preserve"> long-term growth strategy, we should utilize the best practice for data center infrastructure to minimize the cost of downtime and maximize availability.</w:t>
      </w:r>
    </w:p>
    <w:p w14:paraId="5C009629" w14:textId="77777777" w:rsidR="00092D59" w:rsidRDefault="00092D59" w:rsidP="00DC350D">
      <w:pPr>
        <w:spacing w:after="120" w:line="360" w:lineRule="auto"/>
        <w:rPr>
          <w:rFonts w:ascii="Times New Roman" w:hAnsi="Times New Roman" w:cs="Times New Roman"/>
        </w:rPr>
      </w:pPr>
    </w:p>
    <w:p w14:paraId="1D8D82CE" w14:textId="77777777" w:rsidR="00C772FE" w:rsidRDefault="00C772FE" w:rsidP="00DC350D">
      <w:pPr>
        <w:spacing w:after="120" w:line="360" w:lineRule="auto"/>
        <w:rPr>
          <w:rFonts w:ascii="Times New Roman" w:hAnsi="Times New Roman" w:cs="Times New Roman"/>
        </w:rPr>
      </w:pPr>
    </w:p>
    <w:p w14:paraId="22F96C69" w14:textId="77777777" w:rsidR="00062DDD" w:rsidRDefault="00062DDD" w:rsidP="00DC350D">
      <w:pPr>
        <w:spacing w:after="120" w:line="360" w:lineRule="auto"/>
        <w:rPr>
          <w:rFonts w:ascii="Times New Roman" w:hAnsi="Times New Roman" w:cs="Times New Roman"/>
        </w:rPr>
      </w:pPr>
    </w:p>
    <w:p w14:paraId="58DFDF7E" w14:textId="77777777" w:rsidR="00C772FE" w:rsidRPr="00794290" w:rsidRDefault="00C772FE" w:rsidP="00DC350D">
      <w:pPr>
        <w:spacing w:after="120" w:line="360" w:lineRule="auto"/>
        <w:rPr>
          <w:rFonts w:ascii="Times New Roman" w:hAnsi="Times New Roman" w:cs="Times New Roman"/>
        </w:rPr>
      </w:pPr>
    </w:p>
    <w:p w14:paraId="1D7CEBB3" w14:textId="77777777" w:rsidR="00294573" w:rsidRPr="00C772FE" w:rsidRDefault="00294573" w:rsidP="00DC350D">
      <w:pPr>
        <w:spacing w:after="120" w:line="360" w:lineRule="auto"/>
        <w:rPr>
          <w:rFonts w:ascii="Times New Roman" w:hAnsi="Times New Roman" w:cs="Times New Roman"/>
          <w:b/>
        </w:rPr>
      </w:pPr>
      <w:r w:rsidRPr="00C772FE">
        <w:rPr>
          <w:rFonts w:ascii="Times New Roman" w:hAnsi="Times New Roman" w:cs="Times New Roman"/>
          <w:b/>
        </w:rPr>
        <w:lastRenderedPageBreak/>
        <w:t xml:space="preserve">Table 1: Cost of Downtime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385"/>
        <w:gridCol w:w="1300"/>
        <w:gridCol w:w="2643"/>
      </w:tblGrid>
      <w:tr w:rsidR="00294573" w:rsidRPr="00794290" w14:paraId="3BE38EFB" w14:textId="77777777" w:rsidTr="007F7E13">
        <w:trPr>
          <w:trHeight w:val="900"/>
        </w:trPr>
        <w:tc>
          <w:tcPr>
            <w:tcW w:w="1300" w:type="dxa"/>
            <w:noWrap/>
            <w:hideMark/>
          </w:tcPr>
          <w:p w14:paraId="5C6AED12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hideMark/>
          </w:tcPr>
          <w:p w14:paraId="0D15AA7A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Minutes Per Year</w:t>
            </w:r>
          </w:p>
        </w:tc>
        <w:tc>
          <w:tcPr>
            <w:tcW w:w="1385" w:type="dxa"/>
            <w:hideMark/>
          </w:tcPr>
          <w:p w14:paraId="1339C31E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4290">
              <w:rPr>
                <w:rFonts w:ascii="Times New Roman" w:hAnsi="Times New Roman" w:cs="Times New Roman"/>
              </w:rPr>
              <w:t>Avaliability</w:t>
            </w:r>
            <w:proofErr w:type="spellEnd"/>
          </w:p>
        </w:tc>
        <w:tc>
          <w:tcPr>
            <w:tcW w:w="1300" w:type="dxa"/>
            <w:hideMark/>
          </w:tcPr>
          <w:p w14:paraId="29FF239A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Downtime (Min / Year)</w:t>
            </w:r>
          </w:p>
        </w:tc>
        <w:tc>
          <w:tcPr>
            <w:tcW w:w="2643" w:type="dxa"/>
            <w:hideMark/>
          </w:tcPr>
          <w:p w14:paraId="3C058C49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Downtime (Total Cost)</w:t>
            </w:r>
          </w:p>
        </w:tc>
      </w:tr>
      <w:tr w:rsidR="00294573" w:rsidRPr="00794290" w14:paraId="38BAD70A" w14:textId="77777777" w:rsidTr="007F7E13">
        <w:trPr>
          <w:trHeight w:val="300"/>
        </w:trPr>
        <w:tc>
          <w:tcPr>
            <w:tcW w:w="1300" w:type="dxa"/>
            <w:hideMark/>
          </w:tcPr>
          <w:p w14:paraId="23F11172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Tier 1</w:t>
            </w:r>
          </w:p>
        </w:tc>
        <w:tc>
          <w:tcPr>
            <w:tcW w:w="1300" w:type="dxa"/>
            <w:hideMark/>
          </w:tcPr>
          <w:p w14:paraId="72370938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525600</w:t>
            </w:r>
          </w:p>
        </w:tc>
        <w:tc>
          <w:tcPr>
            <w:tcW w:w="1385" w:type="dxa"/>
            <w:hideMark/>
          </w:tcPr>
          <w:p w14:paraId="44699C22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99.67%</w:t>
            </w:r>
          </w:p>
        </w:tc>
        <w:tc>
          <w:tcPr>
            <w:tcW w:w="1300" w:type="dxa"/>
            <w:hideMark/>
          </w:tcPr>
          <w:p w14:paraId="2297A8AF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1734.48</w:t>
            </w:r>
          </w:p>
        </w:tc>
        <w:tc>
          <w:tcPr>
            <w:tcW w:w="2643" w:type="dxa"/>
            <w:hideMark/>
          </w:tcPr>
          <w:p w14:paraId="2F2EFD5E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 xml:space="preserve"> $25,670,304.00 </w:t>
            </w:r>
          </w:p>
        </w:tc>
      </w:tr>
      <w:tr w:rsidR="00294573" w:rsidRPr="00794290" w14:paraId="4F47FF08" w14:textId="77777777" w:rsidTr="007F7E13">
        <w:trPr>
          <w:trHeight w:val="300"/>
        </w:trPr>
        <w:tc>
          <w:tcPr>
            <w:tcW w:w="1300" w:type="dxa"/>
            <w:hideMark/>
          </w:tcPr>
          <w:p w14:paraId="72D876F1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Tier 3</w:t>
            </w:r>
          </w:p>
        </w:tc>
        <w:tc>
          <w:tcPr>
            <w:tcW w:w="1300" w:type="dxa"/>
            <w:hideMark/>
          </w:tcPr>
          <w:p w14:paraId="7557F35C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525600</w:t>
            </w:r>
          </w:p>
        </w:tc>
        <w:tc>
          <w:tcPr>
            <w:tcW w:w="1385" w:type="dxa"/>
            <w:hideMark/>
          </w:tcPr>
          <w:p w14:paraId="4A1FFB58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99.98%</w:t>
            </w:r>
          </w:p>
        </w:tc>
        <w:tc>
          <w:tcPr>
            <w:tcW w:w="1300" w:type="dxa"/>
            <w:hideMark/>
          </w:tcPr>
          <w:p w14:paraId="47FA409A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105.12</w:t>
            </w:r>
          </w:p>
        </w:tc>
        <w:tc>
          <w:tcPr>
            <w:tcW w:w="2643" w:type="dxa"/>
            <w:hideMark/>
          </w:tcPr>
          <w:p w14:paraId="668D216B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 xml:space="preserve">$1,555,776.00 </w:t>
            </w:r>
          </w:p>
        </w:tc>
      </w:tr>
      <w:tr w:rsidR="00294573" w:rsidRPr="00794290" w14:paraId="2B2F7712" w14:textId="77777777" w:rsidTr="007F7E13">
        <w:trPr>
          <w:trHeight w:val="359"/>
        </w:trPr>
        <w:tc>
          <w:tcPr>
            <w:tcW w:w="7928" w:type="dxa"/>
            <w:gridSpan w:val="5"/>
            <w:hideMark/>
          </w:tcPr>
          <w:p w14:paraId="180FA4BC" w14:textId="77777777" w:rsidR="00294573" w:rsidRPr="00794290" w:rsidRDefault="00294573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 xml:space="preserve">Yearly Saving                                                                         $24,114,528.00 </w:t>
            </w:r>
          </w:p>
        </w:tc>
      </w:tr>
    </w:tbl>
    <w:p w14:paraId="56F7BEE9" w14:textId="77777777" w:rsidR="00294573" w:rsidRPr="00794290" w:rsidRDefault="00294573" w:rsidP="00DC350D">
      <w:pPr>
        <w:spacing w:after="120" w:line="360" w:lineRule="auto"/>
        <w:rPr>
          <w:rFonts w:ascii="Times New Roman" w:hAnsi="Times New Roman" w:cs="Times New Roman"/>
        </w:rPr>
      </w:pPr>
    </w:p>
    <w:p w14:paraId="7963D485" w14:textId="77777777" w:rsidR="00294573" w:rsidRPr="00C772FE" w:rsidRDefault="00294573" w:rsidP="00DC350D">
      <w:pPr>
        <w:spacing w:after="120" w:line="360" w:lineRule="auto"/>
        <w:rPr>
          <w:rFonts w:ascii="Times New Roman" w:hAnsi="Times New Roman" w:cs="Times New Roman"/>
          <w:b/>
        </w:rPr>
      </w:pPr>
      <w:r w:rsidRPr="00C772FE">
        <w:rPr>
          <w:rFonts w:ascii="Times New Roman" w:hAnsi="Times New Roman" w:cs="Times New Roman"/>
          <w:b/>
        </w:rPr>
        <w:t>Table 2: Benefit after upgrading</w:t>
      </w: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1276"/>
        <w:gridCol w:w="1892"/>
        <w:gridCol w:w="1890"/>
        <w:gridCol w:w="1890"/>
        <w:gridCol w:w="1890"/>
      </w:tblGrid>
      <w:tr w:rsidR="00582469" w:rsidRPr="00794290" w14:paraId="0A5F230E" w14:textId="77777777" w:rsidTr="00582469">
        <w:trPr>
          <w:trHeight w:val="300"/>
        </w:trPr>
        <w:tc>
          <w:tcPr>
            <w:tcW w:w="1276" w:type="dxa"/>
            <w:hideMark/>
          </w:tcPr>
          <w:p w14:paraId="05DCF765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hideMark/>
          </w:tcPr>
          <w:p w14:paraId="090B8196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Year 1</w:t>
            </w:r>
          </w:p>
        </w:tc>
        <w:tc>
          <w:tcPr>
            <w:tcW w:w="1890" w:type="dxa"/>
            <w:hideMark/>
          </w:tcPr>
          <w:p w14:paraId="19770B32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890" w:type="dxa"/>
            <w:hideMark/>
          </w:tcPr>
          <w:p w14:paraId="06F53D62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 xml:space="preserve">Year 3 </w:t>
            </w:r>
          </w:p>
        </w:tc>
        <w:tc>
          <w:tcPr>
            <w:tcW w:w="1890" w:type="dxa"/>
            <w:hideMark/>
          </w:tcPr>
          <w:p w14:paraId="09407F45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Total</w:t>
            </w:r>
          </w:p>
        </w:tc>
      </w:tr>
      <w:tr w:rsidR="00582469" w:rsidRPr="00794290" w14:paraId="2549A567" w14:textId="77777777" w:rsidTr="00582469">
        <w:trPr>
          <w:trHeight w:val="300"/>
        </w:trPr>
        <w:tc>
          <w:tcPr>
            <w:tcW w:w="1276" w:type="dxa"/>
            <w:hideMark/>
          </w:tcPr>
          <w:p w14:paraId="7ED09145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1892" w:type="dxa"/>
            <w:hideMark/>
          </w:tcPr>
          <w:p w14:paraId="22620552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 xml:space="preserve"> $35,000,000.00 </w:t>
            </w:r>
          </w:p>
        </w:tc>
        <w:tc>
          <w:tcPr>
            <w:tcW w:w="1890" w:type="dxa"/>
            <w:hideMark/>
          </w:tcPr>
          <w:p w14:paraId="2572DB01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$0</w:t>
            </w:r>
          </w:p>
        </w:tc>
        <w:tc>
          <w:tcPr>
            <w:tcW w:w="1890" w:type="dxa"/>
            <w:hideMark/>
          </w:tcPr>
          <w:p w14:paraId="42488264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$0</w:t>
            </w:r>
          </w:p>
        </w:tc>
        <w:tc>
          <w:tcPr>
            <w:tcW w:w="1890" w:type="dxa"/>
            <w:hideMark/>
          </w:tcPr>
          <w:p w14:paraId="72BF05AD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 xml:space="preserve"> $35,000,000.00 </w:t>
            </w:r>
          </w:p>
        </w:tc>
      </w:tr>
      <w:tr w:rsidR="00582469" w:rsidRPr="00794290" w14:paraId="3653BA83" w14:textId="77777777" w:rsidTr="00582469">
        <w:trPr>
          <w:trHeight w:val="300"/>
        </w:trPr>
        <w:tc>
          <w:tcPr>
            <w:tcW w:w="1276" w:type="dxa"/>
            <w:noWrap/>
            <w:hideMark/>
          </w:tcPr>
          <w:p w14:paraId="155B1518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Benefit</w:t>
            </w:r>
          </w:p>
        </w:tc>
        <w:tc>
          <w:tcPr>
            <w:tcW w:w="1892" w:type="dxa"/>
            <w:hideMark/>
          </w:tcPr>
          <w:p w14:paraId="624507CB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>$0</w:t>
            </w:r>
          </w:p>
        </w:tc>
        <w:tc>
          <w:tcPr>
            <w:tcW w:w="1890" w:type="dxa"/>
            <w:hideMark/>
          </w:tcPr>
          <w:p w14:paraId="0D48DAEE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 xml:space="preserve"> $24,114,528.00 </w:t>
            </w:r>
          </w:p>
        </w:tc>
        <w:tc>
          <w:tcPr>
            <w:tcW w:w="1890" w:type="dxa"/>
            <w:hideMark/>
          </w:tcPr>
          <w:p w14:paraId="3F038A51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 xml:space="preserve"> $24,114,528.00 </w:t>
            </w:r>
          </w:p>
        </w:tc>
        <w:tc>
          <w:tcPr>
            <w:tcW w:w="1890" w:type="dxa"/>
            <w:noWrap/>
            <w:hideMark/>
          </w:tcPr>
          <w:p w14:paraId="05DE2590" w14:textId="77777777" w:rsidR="00582469" w:rsidRPr="00794290" w:rsidRDefault="00582469" w:rsidP="00DC350D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 xml:space="preserve"> $48,229,056.00 </w:t>
            </w:r>
          </w:p>
        </w:tc>
      </w:tr>
      <w:tr w:rsidR="00582469" w:rsidRPr="00794290" w14:paraId="060748F7" w14:textId="77777777" w:rsidTr="00582469">
        <w:trPr>
          <w:trHeight w:val="300"/>
        </w:trPr>
        <w:tc>
          <w:tcPr>
            <w:tcW w:w="8838" w:type="dxa"/>
            <w:gridSpan w:val="5"/>
            <w:noWrap/>
            <w:hideMark/>
          </w:tcPr>
          <w:p w14:paraId="45270C15" w14:textId="42B28C5E" w:rsidR="00582469" w:rsidRPr="00794290" w:rsidRDefault="00582469" w:rsidP="00075124">
            <w:pPr>
              <w:spacing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794290">
              <w:rPr>
                <w:rFonts w:ascii="Times New Roman" w:hAnsi="Times New Roman" w:cs="Times New Roman"/>
              </w:rPr>
              <w:t xml:space="preserve">Net Benefit                                                                               </w:t>
            </w:r>
            <w:r w:rsidR="00075124">
              <w:rPr>
                <w:rFonts w:ascii="Times New Roman" w:hAnsi="Times New Roman" w:cs="Times New Roman"/>
              </w:rPr>
              <w:t xml:space="preserve">                               </w:t>
            </w:r>
            <w:r w:rsidRPr="00075124">
              <w:rPr>
                <w:rFonts w:ascii="Times New Roman" w:hAnsi="Times New Roman" w:cs="Times New Roman"/>
                <w:u w:val="single"/>
              </w:rPr>
              <w:t>$13,229,056.00</w:t>
            </w:r>
            <w:r w:rsidRPr="0079429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0BACB1A" w14:textId="77777777" w:rsidR="00360400" w:rsidRDefault="00360400" w:rsidP="00DC350D">
      <w:pPr>
        <w:spacing w:after="120" w:line="360" w:lineRule="auto"/>
        <w:rPr>
          <w:rFonts w:ascii="Times New Roman" w:hAnsi="Times New Roman" w:cs="Times New Roman"/>
        </w:rPr>
      </w:pPr>
    </w:p>
    <w:p w14:paraId="07F37787" w14:textId="23740EA4" w:rsidR="00360400" w:rsidRPr="00360400" w:rsidRDefault="00360400" w:rsidP="00A5746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60400">
        <w:rPr>
          <w:rFonts w:ascii="Times New Roman" w:hAnsi="Times New Roman" w:cs="Times New Roman"/>
          <w:b/>
        </w:rPr>
        <w:t>References</w:t>
      </w:r>
    </w:p>
    <w:p w14:paraId="223D3536" w14:textId="77777777" w:rsidR="00D93266" w:rsidRDefault="00360400" w:rsidP="00360400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5B86" w:rsidRPr="00D45CF1">
        <w:rPr>
          <w:rFonts w:ascii="Times New Roman" w:hAnsi="Times New Roman" w:cs="Times New Roman"/>
          <w:i/>
        </w:rPr>
        <w:t>“</w:t>
      </w:r>
      <w:r w:rsidRPr="00D45CF1">
        <w:rPr>
          <w:rFonts w:ascii="Times New Roman" w:hAnsi="Times New Roman" w:cs="Times New Roman"/>
          <w:i/>
        </w:rPr>
        <w:t>Data Center Site Infrastructure Tier Standard: Topology.</w:t>
      </w:r>
      <w:r w:rsidR="00685B86" w:rsidRPr="00D45CF1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 </w:t>
      </w:r>
      <w:r w:rsidR="00685B86">
        <w:rPr>
          <w:rFonts w:ascii="Times New Roman" w:hAnsi="Times New Roman" w:cs="Times New Roman"/>
        </w:rPr>
        <w:t>Uptime Institute, LLC.</w:t>
      </w:r>
    </w:p>
    <w:p w14:paraId="212F10D1" w14:textId="77777777" w:rsidR="00360400" w:rsidRDefault="00360400" w:rsidP="00D93266">
      <w:pPr>
        <w:spacing w:after="120" w:line="360" w:lineRule="auto"/>
        <w:ind w:firstLine="720"/>
        <w:rPr>
          <w:rFonts w:ascii="Times New Roman" w:hAnsi="Times New Roman" w:cs="Times New Roman"/>
        </w:rPr>
      </w:pPr>
      <w:r w:rsidRPr="00360400">
        <w:rPr>
          <w:rFonts w:ascii="Times New Roman" w:hAnsi="Times New Roman" w:cs="Times New Roman"/>
        </w:rPr>
        <w:t>2010.</w:t>
      </w:r>
      <w:r>
        <w:rPr>
          <w:rFonts w:ascii="Times New Roman" w:hAnsi="Times New Roman" w:cs="Times New Roman"/>
        </w:rPr>
        <w:t xml:space="preserve"> Print.</w:t>
      </w:r>
    </w:p>
    <w:p w14:paraId="25A4DE3F" w14:textId="77777777" w:rsidR="00685B86" w:rsidRPr="00D45CF1" w:rsidRDefault="00685B86" w:rsidP="00685B86">
      <w:pPr>
        <w:spacing w:after="120" w:line="360" w:lineRule="auto"/>
        <w:rPr>
          <w:rFonts w:ascii="Times New Roman" w:hAnsi="Times New Roman" w:cs="Times New Roman"/>
          <w:i/>
        </w:rPr>
      </w:pPr>
      <w:r w:rsidRPr="00D45CF1">
        <w:rPr>
          <w:rFonts w:ascii="Times New Roman" w:hAnsi="Times New Roman" w:cs="Times New Roman"/>
          <w:i/>
        </w:rPr>
        <w:t>“</w:t>
      </w:r>
      <w:r w:rsidR="00D93266" w:rsidRPr="00D45CF1">
        <w:rPr>
          <w:rFonts w:ascii="Times New Roman" w:hAnsi="Times New Roman" w:cs="Times New Roman"/>
          <w:i/>
        </w:rPr>
        <w:t xml:space="preserve">The Lowdown on Data Center Downtime: Frequency, Root </w:t>
      </w:r>
      <w:r w:rsidRPr="00D45CF1">
        <w:rPr>
          <w:rFonts w:ascii="Times New Roman" w:hAnsi="Times New Roman" w:cs="Times New Roman"/>
          <w:i/>
        </w:rPr>
        <w:t xml:space="preserve">Causes and Costs,” </w:t>
      </w:r>
    </w:p>
    <w:p w14:paraId="40EED2D4" w14:textId="77777777" w:rsidR="00685B86" w:rsidRDefault="00685B86" w:rsidP="00685B86">
      <w:pPr>
        <w:spacing w:after="12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Emerson</w:t>
      </w:r>
      <w:proofErr w:type="gramStart"/>
      <w:r>
        <w:rPr>
          <w:rFonts w:ascii="Times New Roman" w:hAnsi="Times New Roman" w:cs="Times New Roman"/>
          <w:bCs/>
        </w:rPr>
        <w:t>,Electric.Co.</w:t>
      </w:r>
      <w:r w:rsidR="00D93266" w:rsidRPr="00D93266">
        <w:rPr>
          <w:rFonts w:ascii="Times New Roman" w:hAnsi="Times New Roman" w:cs="Times New Roman"/>
        </w:rPr>
        <w:t>http</w:t>
      </w:r>
      <w:proofErr w:type="gramEnd"/>
      <w:r w:rsidR="00D93266" w:rsidRPr="00D93266">
        <w:rPr>
          <w:rFonts w:ascii="Times New Roman" w:hAnsi="Times New Roman" w:cs="Times New Roman"/>
        </w:rPr>
        <w:t>:/</w:t>
      </w:r>
      <w:r w:rsidR="00D93266">
        <w:rPr>
          <w:rFonts w:ascii="Times New Roman" w:hAnsi="Times New Roman" w:cs="Times New Roman"/>
        </w:rPr>
        <w:t>/www.emersonnetworkpower.com/en</w:t>
      </w:r>
      <w:r w:rsidR="00D93266" w:rsidRPr="00D93266">
        <w:rPr>
          <w:rFonts w:ascii="Times New Roman" w:hAnsi="Times New Roman" w:cs="Times New Roman"/>
        </w:rPr>
        <w:t>US/Solutions/</w:t>
      </w:r>
    </w:p>
    <w:p w14:paraId="251AF4D8" w14:textId="77777777" w:rsidR="00685B86" w:rsidRDefault="00D93266" w:rsidP="00685B86">
      <w:pPr>
        <w:spacing w:after="120" w:line="360" w:lineRule="auto"/>
        <w:ind w:firstLine="720"/>
        <w:rPr>
          <w:rFonts w:ascii="Times New Roman" w:hAnsi="Times New Roman" w:cs="Times New Roman"/>
        </w:rPr>
      </w:pPr>
      <w:proofErr w:type="spellStart"/>
      <w:r w:rsidRPr="00D93266">
        <w:rPr>
          <w:rFonts w:ascii="Times New Roman" w:hAnsi="Times New Roman" w:cs="Times New Roman"/>
        </w:rPr>
        <w:t>ByApplication</w:t>
      </w:r>
      <w:proofErr w:type="spellEnd"/>
      <w:r w:rsidRPr="00D93266">
        <w:rPr>
          <w:rFonts w:ascii="Times New Roman" w:hAnsi="Times New Roman" w:cs="Times New Roman"/>
        </w:rPr>
        <w:t>/</w:t>
      </w:r>
      <w:proofErr w:type="spellStart"/>
      <w:r w:rsidRPr="00D93266">
        <w:rPr>
          <w:rFonts w:ascii="Times New Roman" w:hAnsi="Times New Roman" w:cs="Times New Roman"/>
        </w:rPr>
        <w:t>DataC</w:t>
      </w:r>
      <w:r w:rsidR="00685B86">
        <w:rPr>
          <w:rFonts w:ascii="Times New Roman" w:hAnsi="Times New Roman" w:cs="Times New Roman"/>
        </w:rPr>
        <w:t>enterNetworking</w:t>
      </w:r>
      <w:proofErr w:type="spellEnd"/>
      <w:r w:rsidR="00685B86">
        <w:rPr>
          <w:rFonts w:ascii="Times New Roman" w:hAnsi="Times New Roman" w:cs="Times New Roman"/>
        </w:rPr>
        <w:t>/Data-Center-</w:t>
      </w:r>
    </w:p>
    <w:p w14:paraId="162FD68B" w14:textId="77777777" w:rsidR="00360400" w:rsidRPr="00685B86" w:rsidRDefault="00685B86" w:rsidP="00685B86">
      <w:pPr>
        <w:spacing w:after="120" w:line="36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Insights/Pages/Causes_of_Downtime_Study.aspx </w:t>
      </w:r>
    </w:p>
    <w:p w14:paraId="44463E54" w14:textId="77777777" w:rsidR="00685B86" w:rsidRPr="00D45CF1" w:rsidRDefault="00685B86" w:rsidP="00685B86">
      <w:pPr>
        <w:spacing w:after="120" w:line="360" w:lineRule="auto"/>
        <w:rPr>
          <w:rFonts w:ascii="Times New Roman" w:hAnsi="Times New Roman" w:cs="Times New Roman"/>
          <w:i/>
        </w:rPr>
      </w:pPr>
      <w:r w:rsidRPr="00685B86">
        <w:rPr>
          <w:rFonts w:ascii="Times New Roman" w:hAnsi="Times New Roman" w:cs="Times New Roman"/>
        </w:rPr>
        <w:t xml:space="preserve">W. Pitt, IV Turner, J. H. </w:t>
      </w:r>
      <w:proofErr w:type="spellStart"/>
      <w:r w:rsidRPr="00685B86">
        <w:rPr>
          <w:rFonts w:ascii="Times New Roman" w:hAnsi="Times New Roman" w:cs="Times New Roman"/>
        </w:rPr>
        <w:t>Seader</w:t>
      </w:r>
      <w:proofErr w:type="spellEnd"/>
      <w:r w:rsidRPr="00685B86">
        <w:rPr>
          <w:rFonts w:ascii="Times New Roman" w:hAnsi="Times New Roman" w:cs="Times New Roman"/>
        </w:rPr>
        <w:t>, and K. G</w:t>
      </w:r>
      <w:bookmarkStart w:id="0" w:name="_GoBack"/>
      <w:bookmarkEnd w:id="0"/>
      <w:r w:rsidRPr="00685B86">
        <w:rPr>
          <w:rFonts w:ascii="Times New Roman" w:hAnsi="Times New Roman" w:cs="Times New Roman"/>
        </w:rPr>
        <w:t xml:space="preserve">. Brill, </w:t>
      </w:r>
      <w:r w:rsidRPr="00D45CF1">
        <w:rPr>
          <w:rFonts w:ascii="Times New Roman" w:hAnsi="Times New Roman" w:cs="Times New Roman"/>
          <w:i/>
        </w:rPr>
        <w:t xml:space="preserve">"Tier Classifications Define Site </w:t>
      </w:r>
    </w:p>
    <w:p w14:paraId="55D20052" w14:textId="0BA4D4B9" w:rsidR="00685B86" w:rsidRPr="00685B86" w:rsidRDefault="00685B86" w:rsidP="00685B86">
      <w:pPr>
        <w:spacing w:after="120" w:line="360" w:lineRule="auto"/>
        <w:ind w:left="720"/>
        <w:rPr>
          <w:rFonts w:ascii="Times New Roman" w:hAnsi="Times New Roman" w:cs="Times New Roman"/>
        </w:rPr>
      </w:pPr>
      <w:r w:rsidRPr="00D45CF1">
        <w:rPr>
          <w:rFonts w:ascii="Times New Roman" w:hAnsi="Times New Roman" w:cs="Times New Roman"/>
          <w:i/>
        </w:rPr>
        <w:t>Infrastructure Performance," White paper</w:t>
      </w:r>
      <w:r w:rsidR="00D45CF1">
        <w:rPr>
          <w:rFonts w:ascii="Times New Roman" w:hAnsi="Times New Roman" w:cs="Times New Roman"/>
          <w:i/>
        </w:rPr>
        <w:t>.</w:t>
      </w:r>
      <w:r w:rsidRPr="00685B86">
        <w:rPr>
          <w:rFonts w:ascii="Times New Roman" w:hAnsi="Times New Roman" w:cs="Times New Roman"/>
        </w:rPr>
        <w:t xml:space="preserve"> The Uptime Institute, Inc., http://www.uptimeinstitute.org/cgi-bin/admin2/ admin.pl</w:t>
      </w:r>
      <w:proofErr w:type="gramStart"/>
      <w:r w:rsidRPr="00685B86">
        <w:rPr>
          <w:rFonts w:ascii="Times New Roman" w:hAnsi="Times New Roman" w:cs="Times New Roman"/>
        </w:rPr>
        <w:t>?admin1</w:t>
      </w:r>
      <w:proofErr w:type="gramEnd"/>
      <w:r w:rsidRPr="00685B86">
        <w:rPr>
          <w:rFonts w:ascii="Times New Roman" w:hAnsi="Times New Roman" w:cs="Times New Roman"/>
        </w:rPr>
        <w:t>/4view_whitepapers.</w:t>
      </w:r>
    </w:p>
    <w:p w14:paraId="74632187" w14:textId="77777777" w:rsidR="00360400" w:rsidRPr="00685B86" w:rsidRDefault="00360400" w:rsidP="00360400">
      <w:pPr>
        <w:spacing w:after="120" w:line="360" w:lineRule="auto"/>
        <w:rPr>
          <w:rFonts w:ascii="Times New Roman" w:hAnsi="Times New Roman" w:cs="Times New Roman"/>
        </w:rPr>
      </w:pPr>
    </w:p>
    <w:sectPr w:rsidR="00360400" w:rsidRPr="00685B86" w:rsidSect="00F81E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18C7"/>
    <w:multiLevelType w:val="hybridMultilevel"/>
    <w:tmpl w:val="9C9485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3"/>
    <w:rsid w:val="00062DDD"/>
    <w:rsid w:val="00075124"/>
    <w:rsid w:val="00092D59"/>
    <w:rsid w:val="00094AC6"/>
    <w:rsid w:val="0010168C"/>
    <w:rsid w:val="00177583"/>
    <w:rsid w:val="001833D2"/>
    <w:rsid w:val="001D3DB3"/>
    <w:rsid w:val="001F7124"/>
    <w:rsid w:val="00257C15"/>
    <w:rsid w:val="00294573"/>
    <w:rsid w:val="00360400"/>
    <w:rsid w:val="00381047"/>
    <w:rsid w:val="00387A5E"/>
    <w:rsid w:val="0045798E"/>
    <w:rsid w:val="00582469"/>
    <w:rsid w:val="00666F2E"/>
    <w:rsid w:val="00685B86"/>
    <w:rsid w:val="00693C6C"/>
    <w:rsid w:val="00794290"/>
    <w:rsid w:val="007F7E13"/>
    <w:rsid w:val="008F124C"/>
    <w:rsid w:val="00993729"/>
    <w:rsid w:val="009D2BB2"/>
    <w:rsid w:val="00A20263"/>
    <w:rsid w:val="00A3066B"/>
    <w:rsid w:val="00A30E93"/>
    <w:rsid w:val="00A5746C"/>
    <w:rsid w:val="00A71F0E"/>
    <w:rsid w:val="00C05B19"/>
    <w:rsid w:val="00C14E91"/>
    <w:rsid w:val="00C772FE"/>
    <w:rsid w:val="00C94B36"/>
    <w:rsid w:val="00C97B9D"/>
    <w:rsid w:val="00D031B6"/>
    <w:rsid w:val="00D45CF1"/>
    <w:rsid w:val="00D92AD1"/>
    <w:rsid w:val="00D93266"/>
    <w:rsid w:val="00DC350D"/>
    <w:rsid w:val="00E5065F"/>
    <w:rsid w:val="00F103B9"/>
    <w:rsid w:val="00F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4C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0E2AF-FC50-CE4B-9B73-1E3FF856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466</Words>
  <Characters>2662</Characters>
  <Application>Microsoft Macintosh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日雯  张</dc:creator>
  <cp:keywords/>
  <dc:description/>
  <cp:lastModifiedBy>日雯  张</cp:lastModifiedBy>
  <cp:revision>29</cp:revision>
  <dcterms:created xsi:type="dcterms:W3CDTF">2015-09-07T14:58:00Z</dcterms:created>
  <dcterms:modified xsi:type="dcterms:W3CDTF">2015-09-28T04:35:00Z</dcterms:modified>
</cp:coreProperties>
</file>