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BBB74" w14:textId="77777777" w:rsidR="005F7225" w:rsidRDefault="00D87F7E" w:rsidP="001F1F26">
      <w:pPr>
        <w:spacing w:line="480" w:lineRule="auto"/>
      </w:pPr>
      <w:r>
        <w:rPr>
          <w:rFonts w:hint="eastAsia"/>
        </w:rPr>
        <w:t>Run Zhu</w:t>
      </w:r>
    </w:p>
    <w:p w14:paraId="42F2FCE6" w14:textId="77777777" w:rsidR="00D87F7E" w:rsidRDefault="00D87F7E" w:rsidP="001F1F26">
      <w:pPr>
        <w:spacing w:line="480" w:lineRule="auto"/>
      </w:pPr>
      <w:r>
        <w:rPr>
          <w:rFonts w:hint="eastAsia"/>
        </w:rPr>
        <w:t>02/04/2017</w:t>
      </w:r>
    </w:p>
    <w:p w14:paraId="7EDCE064" w14:textId="77777777" w:rsidR="00D87F7E" w:rsidRDefault="00D87F7E" w:rsidP="001F1F26">
      <w:pPr>
        <w:spacing w:line="480" w:lineRule="auto"/>
      </w:pPr>
      <w:r>
        <w:rPr>
          <w:rFonts w:hint="eastAsia"/>
        </w:rPr>
        <w:t>MIS 2501</w:t>
      </w:r>
    </w:p>
    <w:p w14:paraId="7A994693" w14:textId="77777777" w:rsidR="00D87F7E" w:rsidRDefault="00D87F7E" w:rsidP="001F1F26">
      <w:pPr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Data Centers and Networking</w:t>
      </w:r>
    </w:p>
    <w:p w14:paraId="0AF75D01" w14:textId="0A2E5F42" w:rsidR="00FF1757" w:rsidRPr="00B2707F" w:rsidRDefault="00F54A2C" w:rsidP="00D93876">
      <w:pPr>
        <w:widowControl/>
        <w:spacing w:line="480" w:lineRule="auto"/>
        <w:jc w:val="left"/>
        <w:rPr>
          <w:rFonts w:ascii="Calibri" w:eastAsia="Times New Roman" w:hAnsi="Calibri" w:cs="Times New Roman"/>
          <w:color w:val="000000" w:themeColor="text1"/>
          <w:kern w:val="0"/>
        </w:rPr>
      </w:pPr>
      <w:r>
        <w:rPr>
          <w:rFonts w:hint="eastAsia"/>
        </w:rPr>
        <w:tab/>
      </w:r>
      <w:r w:rsidRPr="00B2707F">
        <w:rPr>
          <w:rFonts w:hint="eastAsia"/>
          <w:color w:val="000000" w:themeColor="text1"/>
        </w:rPr>
        <w:t>By up</w:t>
      </w:r>
      <w:r w:rsidR="00B003D6" w:rsidRPr="00B2707F">
        <w:rPr>
          <w:rFonts w:hint="eastAsia"/>
          <w:color w:val="000000" w:themeColor="text1"/>
        </w:rPr>
        <w:t>grad</w:t>
      </w:r>
      <w:r w:rsidR="003D33FE" w:rsidRPr="00B2707F">
        <w:rPr>
          <w:rFonts w:hint="eastAsia"/>
          <w:color w:val="000000" w:themeColor="text1"/>
        </w:rPr>
        <w:t>ing</w:t>
      </w:r>
      <w:r w:rsidRPr="00B2707F">
        <w:rPr>
          <w:rFonts w:hint="eastAsia"/>
          <w:color w:val="000000" w:themeColor="text1"/>
        </w:rPr>
        <w:t xml:space="preserve"> our data center from Tier 1 to Tier 3</w:t>
      </w:r>
      <w:r w:rsidR="009B1D67" w:rsidRPr="00B2707F">
        <w:rPr>
          <w:rFonts w:hint="eastAsia"/>
          <w:color w:val="000000" w:themeColor="text1"/>
        </w:rPr>
        <w:t>, we</w:t>
      </w:r>
      <w:r w:rsidRPr="00B2707F">
        <w:rPr>
          <w:rFonts w:hint="eastAsia"/>
          <w:color w:val="000000" w:themeColor="text1"/>
        </w:rPr>
        <w:t xml:space="preserve"> </w:t>
      </w:r>
      <w:r w:rsidR="00E96CDA" w:rsidRPr="00B2707F">
        <w:rPr>
          <w:rFonts w:hint="eastAsia"/>
          <w:color w:val="000000" w:themeColor="text1"/>
        </w:rPr>
        <w:t xml:space="preserve">will gain </w:t>
      </w:r>
      <w:r w:rsidR="009525DA" w:rsidRPr="00B2707F">
        <w:rPr>
          <w:color w:val="000000" w:themeColor="text1"/>
        </w:rPr>
        <w:t>over</w:t>
      </w:r>
      <w:r w:rsidR="001F1F26" w:rsidRPr="00B2707F">
        <w:rPr>
          <w:rFonts w:hint="eastAsia"/>
          <w:color w:val="000000" w:themeColor="text1"/>
        </w:rPr>
        <w:t xml:space="preserve"> </w:t>
      </w:r>
      <w:r w:rsidR="00501695" w:rsidRPr="00B2707F">
        <w:rPr>
          <w:color w:val="000000" w:themeColor="text1"/>
        </w:rPr>
        <w:t>$</w:t>
      </w:r>
      <w:r w:rsidR="00901D3A" w:rsidRPr="00B2707F">
        <w:rPr>
          <w:rFonts w:hint="eastAsia"/>
          <w:color w:val="000000" w:themeColor="text1"/>
        </w:rPr>
        <w:t>13</w:t>
      </w:r>
      <w:r w:rsidR="009525DA" w:rsidRPr="00B2707F">
        <w:rPr>
          <w:color w:val="000000" w:themeColor="text1"/>
        </w:rPr>
        <w:t xml:space="preserve"> </w:t>
      </w:r>
      <w:r w:rsidR="009525DA" w:rsidRPr="00B2707F">
        <w:rPr>
          <w:rFonts w:hint="eastAsia"/>
          <w:color w:val="000000" w:themeColor="text1"/>
        </w:rPr>
        <w:t>million</w:t>
      </w:r>
      <w:r w:rsidR="00E96CDA" w:rsidRPr="00B2707F">
        <w:rPr>
          <w:rFonts w:hint="eastAsia"/>
          <w:color w:val="000000" w:themeColor="text1"/>
        </w:rPr>
        <w:t xml:space="preserve"> </w:t>
      </w:r>
      <w:r w:rsidR="00B301B8" w:rsidRPr="00B2707F">
        <w:rPr>
          <w:rFonts w:hint="eastAsia"/>
          <w:color w:val="000000" w:themeColor="text1"/>
        </w:rPr>
        <w:t xml:space="preserve">in </w:t>
      </w:r>
      <w:r w:rsidR="00E96CDA" w:rsidRPr="00B2707F">
        <w:rPr>
          <w:rFonts w:hint="eastAsia"/>
          <w:color w:val="000000" w:themeColor="text1"/>
        </w:rPr>
        <w:t>net</w:t>
      </w:r>
      <w:r w:rsidR="000208B9" w:rsidRPr="00B2707F">
        <w:rPr>
          <w:color w:val="000000" w:themeColor="text1"/>
        </w:rPr>
        <w:t xml:space="preserve"> </w:t>
      </w:r>
      <w:r w:rsidR="00F240AA" w:rsidRPr="00B2707F">
        <w:rPr>
          <w:rFonts w:hint="eastAsia"/>
          <w:color w:val="000000" w:themeColor="text1"/>
        </w:rPr>
        <w:t>profit</w:t>
      </w:r>
      <w:r w:rsidR="000208B9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</w:t>
      </w:r>
      <w:r w:rsidR="001F1F26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in </w:t>
      </w:r>
      <w:r w:rsidR="009B1D67" w:rsidRPr="00B2707F">
        <w:rPr>
          <w:rFonts w:ascii="Calibri" w:eastAsia="Times New Roman" w:hAnsi="Calibri" w:cs="Times New Roman"/>
          <w:color w:val="000000" w:themeColor="text1"/>
          <w:kern w:val="0"/>
        </w:rPr>
        <w:t>3</w:t>
      </w:r>
      <w:r w:rsidR="009B1D67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</w:t>
      </w:r>
      <w:r w:rsidR="009B1D67" w:rsidRPr="00B2707F">
        <w:rPr>
          <w:rFonts w:ascii="Calibri" w:eastAsia="Times New Roman" w:hAnsi="Calibri" w:cs="Times New Roman"/>
          <w:color w:val="000000" w:themeColor="text1"/>
          <w:kern w:val="0"/>
        </w:rPr>
        <w:t>year</w:t>
      </w:r>
      <w:r w:rsidR="001F1F26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s</w:t>
      </w:r>
      <w:r w:rsidRPr="00B2707F">
        <w:rPr>
          <w:rFonts w:ascii="Calibri" w:eastAsia="Times New Roman" w:hAnsi="Calibri" w:cs="Times New Roman"/>
          <w:color w:val="000000" w:themeColor="text1"/>
          <w:kern w:val="0"/>
        </w:rPr>
        <w:t>.</w:t>
      </w:r>
      <w:r w:rsidR="009B1D67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</w:t>
      </w:r>
      <w:r w:rsidR="003A3324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T</w:t>
      </w:r>
      <w:r w:rsidR="00BE04B5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he new data center</w:t>
      </w:r>
      <w:r w:rsidR="009525DA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has </w:t>
      </w:r>
      <w:r w:rsidR="00407851">
        <w:rPr>
          <w:rFonts w:ascii="Calibri" w:eastAsia="Times New Roman" w:hAnsi="Calibri" w:cs="Times New Roman"/>
          <w:color w:val="000000" w:themeColor="text1"/>
          <w:kern w:val="0"/>
        </w:rPr>
        <w:t xml:space="preserve">the </w:t>
      </w:r>
      <w:r w:rsidR="009525DA" w:rsidRPr="00B2707F">
        <w:rPr>
          <w:rFonts w:ascii="Calibri" w:eastAsia="Times New Roman" w:hAnsi="Calibri" w:cs="Times New Roman"/>
          <w:color w:val="000000" w:themeColor="text1"/>
          <w:kern w:val="0"/>
        </w:rPr>
        <w:t>redundant capacity</w:t>
      </w:r>
      <w:r w:rsidR="00FF1757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,</w:t>
      </w:r>
      <w:r w:rsidR="00320F5C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</w:t>
      </w:r>
      <w:r w:rsidR="00FF1757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dual power, and </w:t>
      </w:r>
      <w:r w:rsidR="00FF1757" w:rsidRPr="00B2707F">
        <w:rPr>
          <w:rFonts w:ascii="Calibri" w:eastAsia="Times New Roman" w:hAnsi="Calibri" w:cs="Times New Roman"/>
          <w:color w:val="000000" w:themeColor="text1"/>
          <w:kern w:val="0"/>
        </w:rPr>
        <w:t>permanent</w:t>
      </w:r>
      <w:r w:rsidR="00FF1757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ly installed capacity </w:t>
      </w:r>
      <w:r w:rsidR="00320F5C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to cope with system </w:t>
      </w:r>
      <w:r w:rsidR="00F240AA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outage</w:t>
      </w:r>
      <w:r w:rsidR="00FF1757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s</w:t>
      </w:r>
      <w:r w:rsidR="006A785B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</w:t>
      </w:r>
      <w:r w:rsidR="004F6C12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and </w:t>
      </w:r>
      <w:r w:rsidR="006A785B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system </w:t>
      </w:r>
      <w:r w:rsidR="004F6C12" w:rsidRPr="00B2707F">
        <w:rPr>
          <w:rFonts w:ascii="Calibri" w:eastAsia="Times New Roman" w:hAnsi="Calibri" w:cs="Times New Roman"/>
          <w:color w:val="000000" w:themeColor="text1"/>
          <w:kern w:val="0"/>
        </w:rPr>
        <w:t>maintenance</w:t>
      </w:r>
      <w:r w:rsidR="00106827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,</w:t>
      </w:r>
      <w:r w:rsidR="004F6C12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</w:t>
      </w:r>
      <w:r w:rsidR="006A785B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without interrupt</w:t>
      </w:r>
      <w:r w:rsidR="00C971BE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ing </w:t>
      </w:r>
      <w:r w:rsidR="006A785B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business operation</w:t>
      </w:r>
      <w:r w:rsidR="001F1F26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. By </w:t>
      </w:r>
      <w:r w:rsidR="00901D3A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invest</w:t>
      </w:r>
      <w:r w:rsidR="001F1F26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ing</w:t>
      </w:r>
      <w:r w:rsidR="00901D3A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35</w:t>
      </w:r>
      <w:r w:rsidR="007A638D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million</w:t>
      </w:r>
      <w:r w:rsidR="00901D3A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in </w:t>
      </w:r>
      <w:r w:rsidR="00E62DDD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a </w:t>
      </w:r>
      <w:r w:rsidR="001F1F26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Tier 3 data center, we can </w:t>
      </w:r>
      <w:r w:rsidR="00901D3A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decrease the system downtime</w:t>
      </w:r>
      <w:r w:rsidR="00E62DDD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,</w:t>
      </w:r>
      <w:r w:rsidR="00400473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thereby increasing</w:t>
      </w:r>
      <w:r w:rsidR="00901D3A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our business operation efficiency.</w:t>
      </w:r>
      <w:r w:rsidR="00400473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</w:t>
      </w:r>
    </w:p>
    <w:p w14:paraId="4C752982" w14:textId="30092DC9" w:rsidR="00D93876" w:rsidRPr="00B2707F" w:rsidRDefault="009B3E0D" w:rsidP="009B3E0D">
      <w:pPr>
        <w:widowControl/>
        <w:spacing w:line="480" w:lineRule="auto"/>
        <w:ind w:firstLine="420"/>
        <w:jc w:val="left"/>
        <w:rPr>
          <w:rFonts w:ascii="Calibri" w:eastAsia="Times New Roman" w:hAnsi="Calibri" w:cs="Times New Roman"/>
          <w:color w:val="000000" w:themeColor="text1"/>
          <w:kern w:val="0"/>
        </w:rPr>
      </w:pPr>
      <w:r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The</w:t>
      </w:r>
      <w:r w:rsidR="00076A59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Tier 3</w:t>
      </w:r>
      <w:r w:rsidR="00C523B4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data c</w:t>
      </w:r>
      <w:r w:rsidR="00DB198E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enter </w:t>
      </w:r>
      <w:r w:rsidR="00DA6F1F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has</w:t>
      </w:r>
      <w:r w:rsidR="00D14D66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several </w:t>
      </w:r>
      <w:r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unique</w:t>
      </w:r>
      <w:r w:rsidR="0040054E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</w:t>
      </w:r>
      <w:r w:rsidR="00E42EBF" w:rsidRPr="00B2707F">
        <w:rPr>
          <w:rFonts w:ascii="Calibri" w:eastAsia="Times New Roman" w:hAnsi="Calibri" w:cs="Times New Roman"/>
          <w:color w:val="000000" w:themeColor="text1"/>
          <w:kern w:val="0"/>
        </w:rPr>
        <w:t>features</w:t>
      </w:r>
      <w:r w:rsidR="00D14D66" w:rsidRPr="00B2707F">
        <w:rPr>
          <w:rFonts w:ascii="Calibri" w:eastAsia="Times New Roman" w:hAnsi="Calibri" w:cs="Times New Roman"/>
          <w:color w:val="000000" w:themeColor="text1"/>
          <w:kern w:val="0"/>
        </w:rPr>
        <w:t>. First, the Tier 3 data center has</w:t>
      </w:r>
      <w:r w:rsidR="00076A59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</w:t>
      </w:r>
      <w:r w:rsidR="00407851">
        <w:rPr>
          <w:rFonts w:ascii="Calibri" w:eastAsia="Times New Roman" w:hAnsi="Calibri" w:cs="Times New Roman"/>
          <w:color w:val="000000" w:themeColor="text1"/>
          <w:kern w:val="0"/>
        </w:rPr>
        <w:t xml:space="preserve">the </w:t>
      </w:r>
      <w:r w:rsidR="00076A59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redundant capacity </w:t>
      </w:r>
      <w:r w:rsidR="008E11A9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and </w:t>
      </w:r>
      <w:r w:rsidR="008E11A9" w:rsidRPr="00B2707F">
        <w:rPr>
          <w:rFonts w:ascii="Calibri" w:eastAsia="Times New Roman" w:hAnsi="Calibri" w:cs="Times New Roman"/>
          <w:color w:val="000000" w:themeColor="text1"/>
          <w:kern w:val="0"/>
        </w:rPr>
        <w:t>multiple</w:t>
      </w:r>
      <w:r w:rsidR="008E11A9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</w:t>
      </w:r>
      <w:r w:rsidR="00530CEF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independent </w:t>
      </w:r>
      <w:r w:rsidR="008E11A9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distribution</w:t>
      </w:r>
      <w:r w:rsidR="00530CEF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path</w:t>
      </w:r>
      <w:r w:rsidR="009B7345" w:rsidRPr="00B2707F">
        <w:rPr>
          <w:rFonts w:ascii="Calibri" w:eastAsia="Times New Roman" w:hAnsi="Calibri" w:cs="Times New Roman"/>
          <w:color w:val="000000" w:themeColor="text1"/>
          <w:kern w:val="0"/>
        </w:rPr>
        <w:t>s</w:t>
      </w:r>
      <w:r w:rsidR="008E11A9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, </w:t>
      </w:r>
      <w:r w:rsidR="00D634E9" w:rsidRPr="00B2707F">
        <w:rPr>
          <w:rFonts w:ascii="Calibri" w:eastAsia="Times New Roman" w:hAnsi="Calibri" w:cs="Times New Roman"/>
          <w:color w:val="000000" w:themeColor="text1"/>
          <w:kern w:val="0"/>
        </w:rPr>
        <w:t>which enables</w:t>
      </w:r>
      <w:r w:rsidR="00BB6300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</w:t>
      </w:r>
      <w:r w:rsidR="00BB6300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system </w:t>
      </w:r>
      <w:r w:rsidR="00BB6300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maintenance </w:t>
      </w:r>
      <w:r w:rsidR="00BB6300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without interrupt</w:t>
      </w:r>
      <w:r w:rsidR="00BB6300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ing </w:t>
      </w:r>
      <w:r w:rsidR="00BB6300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business operation</w:t>
      </w:r>
      <w:r w:rsidR="00D14D66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>. Second,</w:t>
      </w:r>
      <w:r w:rsidR="00DA6F1F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 </w:t>
      </w:r>
      <w:r w:rsidR="00E12C87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all </w:t>
      </w:r>
      <w:r w:rsidR="003930AB" w:rsidRPr="00B2707F">
        <w:rPr>
          <w:rFonts w:ascii="Calibri" w:eastAsia="Times New Roman" w:hAnsi="Calibri" w:cs="Times New Roman" w:hint="eastAsia"/>
          <w:color w:val="000000" w:themeColor="text1"/>
          <w:kern w:val="0"/>
        </w:rPr>
        <w:t xml:space="preserve">its </w:t>
      </w:r>
      <w:r w:rsidR="00E12C87" w:rsidRPr="00B2707F">
        <w:rPr>
          <w:rFonts w:ascii="Calibri" w:eastAsia="Times New Roman" w:hAnsi="Calibri" w:cs="Times New Roman"/>
          <w:color w:val="000000" w:themeColor="text1"/>
          <w:kern w:val="0"/>
        </w:rPr>
        <w:t>IT equipment is dual powered</w:t>
      </w:r>
      <w:r w:rsidR="00A4725E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, </w:t>
      </w:r>
      <w:r w:rsidR="001A0EBF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when half of the power cut down, the system can still operate, so </w:t>
      </w:r>
      <w:r w:rsidR="00A4725E" w:rsidRPr="00B2707F">
        <w:rPr>
          <w:rFonts w:ascii="Calibri" w:eastAsia="Times New Roman" w:hAnsi="Calibri" w:cs="Times New Roman"/>
          <w:color w:val="000000" w:themeColor="text1"/>
          <w:kern w:val="0"/>
        </w:rPr>
        <w:t>it</w:t>
      </w:r>
      <w:r w:rsidR="00693302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</w:t>
      </w:r>
      <w:r w:rsidR="00A4725E" w:rsidRPr="00B2707F">
        <w:rPr>
          <w:rFonts w:ascii="Calibri" w:eastAsia="Times New Roman" w:hAnsi="Calibri" w:cs="Times New Roman"/>
          <w:color w:val="000000" w:themeColor="text1"/>
          <w:kern w:val="0"/>
        </w:rPr>
        <w:t>has less chance to suffer a</w:t>
      </w:r>
      <w:r w:rsidR="009C1542" w:rsidRPr="00B2707F">
        <w:rPr>
          <w:rFonts w:ascii="Calibri" w:eastAsia="Times New Roman" w:hAnsi="Calibri" w:cs="Times New Roman"/>
          <w:color w:val="000000" w:themeColor="text1"/>
          <w:kern w:val="0"/>
        </w:rPr>
        <w:t>n</w:t>
      </w:r>
      <w:r w:rsidR="00A4725E" w:rsidRPr="00B2707F">
        <w:rPr>
          <w:rFonts w:ascii="Calibri" w:eastAsia="Times New Roman" w:hAnsi="Calibri" w:cs="Times New Roman"/>
          <w:color w:val="000000" w:themeColor="text1"/>
          <w:kern w:val="0"/>
        </w:rPr>
        <w:t xml:space="preserve"> outage</w:t>
      </w:r>
      <w:r w:rsidR="00061B07" w:rsidRPr="00B2707F">
        <w:rPr>
          <w:rFonts w:cs="Times New Roman" w:hint="eastAsia"/>
          <w:color w:val="000000" w:themeColor="text1"/>
        </w:rPr>
        <w:t xml:space="preserve">. </w:t>
      </w:r>
      <w:r w:rsidR="00A4725E" w:rsidRPr="00B2707F">
        <w:rPr>
          <w:rFonts w:cs="Times New Roman"/>
          <w:color w:val="000000" w:themeColor="text1"/>
        </w:rPr>
        <w:t xml:space="preserve">Third, </w:t>
      </w:r>
      <w:r w:rsidR="000F6D7A" w:rsidRPr="00B2707F">
        <w:rPr>
          <w:rFonts w:cs="Times New Roman"/>
          <w:color w:val="000000" w:themeColor="text1"/>
        </w:rPr>
        <w:t>there is sufficient permanently installed capacity to meet the needs of the site when redundant comp</w:t>
      </w:r>
      <w:r w:rsidR="00D41CDB" w:rsidRPr="00B2707F">
        <w:rPr>
          <w:rFonts w:cs="Times New Roman"/>
          <w:color w:val="000000" w:themeColor="text1"/>
        </w:rPr>
        <w:t>onents are removed from service.</w:t>
      </w:r>
    </w:p>
    <w:p w14:paraId="1D3DEA44" w14:textId="3D42E5E4" w:rsidR="008007F9" w:rsidRPr="00B2707F" w:rsidRDefault="00B003D6" w:rsidP="00D14D66">
      <w:pPr>
        <w:widowControl/>
        <w:spacing w:line="480" w:lineRule="auto"/>
        <w:jc w:val="left"/>
        <w:rPr>
          <w:rFonts w:eastAsia="Times New Roman" w:cs="Arial"/>
          <w:color w:val="000000" w:themeColor="text1"/>
          <w:kern w:val="0"/>
          <w:shd w:val="clear" w:color="auto" w:fill="FFFFFF"/>
        </w:rPr>
      </w:pPr>
      <w:r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ab/>
      </w:r>
      <w:r w:rsidR="00AD4EB4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The total cost for </w:t>
      </w:r>
      <w:r w:rsidR="0093541E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>Tier 3 data center</w:t>
      </w:r>
      <w:r w:rsidR="00AD4EB4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is </w:t>
      </w:r>
      <w:r w:rsidR="00FC36E6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>$38.1 million</w:t>
      </w:r>
      <w:r w:rsidR="00CD1D49">
        <w:rPr>
          <w:rFonts w:eastAsia="Times New Roman" w:cs="Arial"/>
          <w:color w:val="000000" w:themeColor="text1"/>
          <w:kern w:val="0"/>
          <w:shd w:val="clear" w:color="auto" w:fill="FFFFFF"/>
        </w:rPr>
        <w:t>, including</w:t>
      </w:r>
      <w:r w:rsidR="000208B9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</w:t>
      </w:r>
      <w:r w:rsidR="00501695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>$</w:t>
      </w:r>
      <w:r w:rsidR="00B0576E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>35</w:t>
      </w:r>
      <w:r w:rsidR="00976F53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million</w:t>
      </w:r>
      <w:r w:rsidR="00E9294E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1-year</w:t>
      </w:r>
      <w:r w:rsidR="006259A3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</w:t>
      </w:r>
      <w:r w:rsidR="00E9294E">
        <w:rPr>
          <w:rFonts w:eastAsia="Times New Roman" w:cs="Arial"/>
          <w:color w:val="000000" w:themeColor="text1"/>
          <w:kern w:val="0"/>
          <w:shd w:val="clear" w:color="auto" w:fill="FFFFFF"/>
        </w:rPr>
        <w:t>construction cost</w:t>
      </w:r>
      <w:r w:rsidR="00501695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and</w:t>
      </w:r>
      <w:r w:rsidR="00AD4EB4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</w:t>
      </w:r>
      <w:r w:rsidR="00E9294E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$3.1 million </w:t>
      </w:r>
      <w:r w:rsidR="00AD4EB4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>3-year outage cost</w:t>
      </w:r>
      <w:r w:rsidR="00B0576E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>.</w:t>
      </w:r>
      <w:r w:rsidR="0093541E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</w:t>
      </w:r>
      <w:r w:rsidR="00E9294E">
        <w:rPr>
          <w:rFonts w:eastAsia="Times New Roman" w:cs="Arial"/>
          <w:color w:val="000000" w:themeColor="text1"/>
          <w:kern w:val="0"/>
          <w:shd w:val="clear" w:color="auto" w:fill="FFFFFF"/>
        </w:rPr>
        <w:t>The</w:t>
      </w:r>
      <w:r w:rsidR="00FC164E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</w:t>
      </w:r>
      <w:r w:rsidR="00542A70">
        <w:rPr>
          <w:rFonts w:eastAsia="Times New Roman" w:cs="Arial"/>
          <w:color w:val="000000" w:themeColor="text1"/>
          <w:kern w:val="0"/>
          <w:shd w:val="clear" w:color="auto" w:fill="FFFFFF"/>
        </w:rPr>
        <w:t>avoidable</w:t>
      </w:r>
      <w:r w:rsidR="00542A70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</w:t>
      </w:r>
      <w:bookmarkStart w:id="0" w:name="_GoBack"/>
      <w:bookmarkEnd w:id="0"/>
      <w:r w:rsidR="00FC164E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>3-year outage cost from Tie 1 datacenter is</w:t>
      </w:r>
      <w:r w:rsidR="00BB33EA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$51.34</w:t>
      </w:r>
      <w:r w:rsidR="00BB33EA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>,</w:t>
      </w:r>
      <w:r w:rsidR="00FC164E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so</w:t>
      </w:r>
      <w:r w:rsidR="00D919FE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</w:t>
      </w:r>
      <w:r w:rsidR="00E96CDA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>the 3-year</w:t>
      </w:r>
      <w:r w:rsidR="00BB33EA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 net</w:t>
      </w:r>
      <w:r w:rsidR="00E96CDA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benefit </w:t>
      </w:r>
      <w:r w:rsidR="000208B9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 xml:space="preserve">would be </w:t>
      </w:r>
      <w:r w:rsidR="002845F3" w:rsidRPr="00B2707F">
        <w:rPr>
          <w:rFonts w:eastAsia="Times New Roman" w:cs="Arial"/>
          <w:color w:val="000000" w:themeColor="text1"/>
          <w:kern w:val="0"/>
          <w:shd w:val="clear" w:color="auto" w:fill="FFFFFF"/>
        </w:rPr>
        <w:t>$</w:t>
      </w:r>
      <w:r w:rsidR="002845F3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>13</w:t>
      </w:r>
      <w:r w:rsidR="00A76615">
        <w:rPr>
          <w:rFonts w:eastAsia="Times New Roman" w:cs="Arial"/>
          <w:color w:val="000000" w:themeColor="text1"/>
          <w:kern w:val="0"/>
          <w:shd w:val="clear" w:color="auto" w:fill="FFFFFF"/>
        </w:rPr>
        <w:t>.2</w:t>
      </w:r>
      <w:r w:rsidR="00E9294E">
        <w:rPr>
          <w:rFonts w:eastAsia="Times New Roman" w:cs="Arial"/>
          <w:color w:val="000000" w:themeColor="text1"/>
          <w:kern w:val="0"/>
          <w:shd w:val="clear" w:color="auto" w:fill="FFFFFF"/>
        </w:rPr>
        <w:t>3</w:t>
      </w:r>
      <w:r w:rsidR="002845F3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million</w:t>
      </w:r>
      <w:r w:rsidR="00B0576E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>.</w:t>
      </w:r>
      <w:r w:rsidR="00BD26EA" w:rsidRPr="00B2707F">
        <w:rPr>
          <w:rFonts w:eastAsia="Times New Roman" w:cs="Arial" w:hint="eastAsia"/>
          <w:color w:val="000000" w:themeColor="text1"/>
          <w:kern w:val="0"/>
          <w:shd w:val="clear" w:color="auto" w:fill="FFFFFF"/>
        </w:rPr>
        <w:t xml:space="preserve"> </w:t>
      </w:r>
    </w:p>
    <w:p w14:paraId="07222BAB" w14:textId="77777777" w:rsidR="00FF1757" w:rsidRDefault="00FF1757" w:rsidP="00D14D66">
      <w:pPr>
        <w:widowControl/>
        <w:spacing w:line="480" w:lineRule="auto"/>
        <w:jc w:val="left"/>
        <w:rPr>
          <w:rFonts w:eastAsia="Times New Roman" w:cs="Arial"/>
          <w:color w:val="000000" w:themeColor="text1"/>
          <w:kern w:val="0"/>
          <w:shd w:val="clear" w:color="auto" w:fill="FFFFFF"/>
        </w:rPr>
      </w:pPr>
    </w:p>
    <w:p w14:paraId="69D3B234" w14:textId="77777777" w:rsidR="00D919FE" w:rsidRDefault="00D919FE" w:rsidP="00D14D66">
      <w:pPr>
        <w:widowControl/>
        <w:spacing w:line="480" w:lineRule="auto"/>
        <w:jc w:val="left"/>
        <w:rPr>
          <w:rFonts w:ascii="MS Mincho" w:eastAsia="MS Mincho" w:hAnsi="MS Mincho" w:cs="MS Mincho"/>
          <w:color w:val="0070C0"/>
          <w:kern w:val="0"/>
          <w:shd w:val="clear" w:color="auto" w:fill="FFFFFF"/>
        </w:rPr>
      </w:pPr>
    </w:p>
    <w:p w14:paraId="591F23CF" w14:textId="77777777" w:rsidR="00BB33EA" w:rsidRDefault="00BB33EA" w:rsidP="00D14D66">
      <w:pPr>
        <w:widowControl/>
        <w:spacing w:line="480" w:lineRule="auto"/>
        <w:jc w:val="left"/>
        <w:rPr>
          <w:rFonts w:eastAsia="Times New Roman" w:cs="Arial"/>
          <w:color w:val="000000" w:themeColor="text1"/>
          <w:kern w:val="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1669"/>
        <w:gridCol w:w="1680"/>
      </w:tblGrid>
      <w:tr w:rsidR="00AE7708" w:rsidRPr="00AE7708" w14:paraId="3307740C" w14:textId="77777777" w:rsidTr="00AE7708">
        <w:trPr>
          <w:trHeight w:val="320"/>
        </w:trPr>
        <w:tc>
          <w:tcPr>
            <w:tcW w:w="3232" w:type="dxa"/>
            <w:noWrap/>
            <w:hideMark/>
          </w:tcPr>
          <w:p w14:paraId="6B510173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669" w:type="dxa"/>
            <w:noWrap/>
            <w:hideMark/>
          </w:tcPr>
          <w:p w14:paraId="1DB19550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tier 1</w:t>
            </w:r>
          </w:p>
        </w:tc>
        <w:tc>
          <w:tcPr>
            <w:tcW w:w="1680" w:type="dxa"/>
            <w:noWrap/>
            <w:hideMark/>
          </w:tcPr>
          <w:p w14:paraId="40B9CD58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tier 3</w:t>
            </w:r>
          </w:p>
        </w:tc>
      </w:tr>
      <w:tr w:rsidR="00AE7708" w:rsidRPr="00AE7708" w14:paraId="5EB1A700" w14:textId="77777777" w:rsidTr="00AE7708">
        <w:trPr>
          <w:trHeight w:val="320"/>
        </w:trPr>
        <w:tc>
          <w:tcPr>
            <w:tcW w:w="3232" w:type="dxa"/>
            <w:noWrap/>
            <w:hideMark/>
          </w:tcPr>
          <w:p w14:paraId="3FFBCA59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Availability(%)</w:t>
            </w:r>
          </w:p>
        </w:tc>
        <w:tc>
          <w:tcPr>
            <w:tcW w:w="1669" w:type="dxa"/>
            <w:noWrap/>
            <w:hideMark/>
          </w:tcPr>
          <w:p w14:paraId="398E97F1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99.67%</w:t>
            </w:r>
          </w:p>
        </w:tc>
        <w:tc>
          <w:tcPr>
            <w:tcW w:w="1680" w:type="dxa"/>
            <w:noWrap/>
            <w:hideMark/>
          </w:tcPr>
          <w:p w14:paraId="2E67C9B3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99.98%</w:t>
            </w:r>
          </w:p>
        </w:tc>
      </w:tr>
      <w:tr w:rsidR="00AE7708" w:rsidRPr="00AE7708" w14:paraId="279CDA83" w14:textId="77777777" w:rsidTr="00AE7708">
        <w:trPr>
          <w:trHeight w:val="320"/>
        </w:trPr>
        <w:tc>
          <w:tcPr>
            <w:tcW w:w="3232" w:type="dxa"/>
            <w:noWrap/>
            <w:hideMark/>
          </w:tcPr>
          <w:p w14:paraId="60609612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Unavailability(%)</w:t>
            </w:r>
          </w:p>
        </w:tc>
        <w:tc>
          <w:tcPr>
            <w:tcW w:w="1669" w:type="dxa"/>
            <w:noWrap/>
            <w:hideMark/>
          </w:tcPr>
          <w:p w14:paraId="746A2008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0.33%</w:t>
            </w:r>
          </w:p>
        </w:tc>
        <w:tc>
          <w:tcPr>
            <w:tcW w:w="1680" w:type="dxa"/>
            <w:noWrap/>
            <w:hideMark/>
          </w:tcPr>
          <w:p w14:paraId="265BB789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0.02%</w:t>
            </w:r>
          </w:p>
        </w:tc>
      </w:tr>
      <w:tr w:rsidR="00AE7708" w:rsidRPr="00AE7708" w14:paraId="5C0F9FB9" w14:textId="77777777" w:rsidTr="00AE7708">
        <w:trPr>
          <w:trHeight w:val="320"/>
        </w:trPr>
        <w:tc>
          <w:tcPr>
            <w:tcW w:w="3232" w:type="dxa"/>
            <w:noWrap/>
            <w:hideMark/>
          </w:tcPr>
          <w:p w14:paraId="4777A1F7" w14:textId="1F261393" w:rsidR="00AE7708" w:rsidRPr="00AE7708" w:rsidRDefault="00BD26EA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Unavailable</w:t>
            </w:r>
            <w:r w:rsidR="00AE7708"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 xml:space="preserve"> minute per year</w:t>
            </w:r>
          </w:p>
        </w:tc>
        <w:tc>
          <w:tcPr>
            <w:tcW w:w="1669" w:type="dxa"/>
            <w:noWrap/>
            <w:hideMark/>
          </w:tcPr>
          <w:p w14:paraId="538D5A6B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1734.48</w:t>
            </w:r>
          </w:p>
        </w:tc>
        <w:tc>
          <w:tcPr>
            <w:tcW w:w="1680" w:type="dxa"/>
            <w:noWrap/>
            <w:hideMark/>
          </w:tcPr>
          <w:p w14:paraId="70D2A4F8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105.12</w:t>
            </w:r>
          </w:p>
        </w:tc>
      </w:tr>
      <w:tr w:rsidR="00AE7708" w:rsidRPr="00AE7708" w14:paraId="21345079" w14:textId="77777777" w:rsidTr="00AE7708">
        <w:trPr>
          <w:trHeight w:val="320"/>
        </w:trPr>
        <w:tc>
          <w:tcPr>
            <w:tcW w:w="3232" w:type="dxa"/>
            <w:noWrap/>
            <w:hideMark/>
          </w:tcPr>
          <w:p w14:paraId="5E6F701F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Cost per minute(down time)</w:t>
            </w:r>
          </w:p>
        </w:tc>
        <w:tc>
          <w:tcPr>
            <w:tcW w:w="1669" w:type="dxa"/>
            <w:noWrap/>
            <w:hideMark/>
          </w:tcPr>
          <w:p w14:paraId="742D2F06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14800</w:t>
            </w:r>
          </w:p>
        </w:tc>
        <w:tc>
          <w:tcPr>
            <w:tcW w:w="1680" w:type="dxa"/>
            <w:noWrap/>
            <w:hideMark/>
          </w:tcPr>
          <w:p w14:paraId="0471EA40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14800</w:t>
            </w:r>
          </w:p>
        </w:tc>
      </w:tr>
      <w:tr w:rsidR="00AE7708" w:rsidRPr="00AE7708" w14:paraId="7692B8F1" w14:textId="77777777" w:rsidTr="00AE7708">
        <w:trPr>
          <w:trHeight w:val="320"/>
        </w:trPr>
        <w:tc>
          <w:tcPr>
            <w:tcW w:w="3232" w:type="dxa"/>
            <w:noWrap/>
            <w:hideMark/>
          </w:tcPr>
          <w:p w14:paraId="6F0006C6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Cost per year($)</w:t>
            </w:r>
          </w:p>
        </w:tc>
        <w:tc>
          <w:tcPr>
            <w:tcW w:w="1669" w:type="dxa"/>
            <w:noWrap/>
            <w:hideMark/>
          </w:tcPr>
          <w:p w14:paraId="6F10CB72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 xml:space="preserve"> 25,670,304 </w:t>
            </w:r>
          </w:p>
        </w:tc>
        <w:tc>
          <w:tcPr>
            <w:tcW w:w="1680" w:type="dxa"/>
            <w:noWrap/>
            <w:hideMark/>
          </w:tcPr>
          <w:p w14:paraId="7259B572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</w:pPr>
            <w:r w:rsidRPr="00AE7708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 xml:space="preserve"> 1,555,776 </w:t>
            </w:r>
          </w:p>
        </w:tc>
      </w:tr>
    </w:tbl>
    <w:p w14:paraId="75CDF05B" w14:textId="77777777" w:rsidR="00F54A2C" w:rsidRDefault="00F54A2C" w:rsidP="00611009">
      <w:pPr>
        <w:widowControl/>
        <w:spacing w:line="480" w:lineRule="auto"/>
        <w:jc w:val="left"/>
        <w:rPr>
          <w:rFonts w:eastAsia="Times New Roman" w:cs="Arial"/>
          <w:color w:val="000000" w:themeColor="text1"/>
          <w:kern w:val="0"/>
          <w:shd w:val="clear" w:color="auto" w:fill="FFFFFF"/>
        </w:rPr>
      </w:pPr>
    </w:p>
    <w:tbl>
      <w:tblPr>
        <w:tblStyle w:val="TableGrid"/>
        <w:tblW w:w="9898" w:type="dxa"/>
        <w:tblLayout w:type="fixed"/>
        <w:tblLook w:val="04A0" w:firstRow="1" w:lastRow="0" w:firstColumn="1" w:lastColumn="0" w:noHBand="0" w:noVBand="1"/>
      </w:tblPr>
      <w:tblGrid>
        <w:gridCol w:w="1300"/>
        <w:gridCol w:w="2208"/>
        <w:gridCol w:w="1980"/>
        <w:gridCol w:w="1890"/>
        <w:gridCol w:w="2520"/>
      </w:tblGrid>
      <w:tr w:rsidR="00ED7A93" w:rsidRPr="00AE7708" w14:paraId="20A5A17E" w14:textId="77777777" w:rsidTr="00ED7A93">
        <w:trPr>
          <w:trHeight w:val="320"/>
        </w:trPr>
        <w:tc>
          <w:tcPr>
            <w:tcW w:w="1300" w:type="dxa"/>
            <w:noWrap/>
            <w:hideMark/>
          </w:tcPr>
          <w:p w14:paraId="788AC82B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</w:p>
        </w:tc>
        <w:tc>
          <w:tcPr>
            <w:tcW w:w="2208" w:type="dxa"/>
            <w:noWrap/>
            <w:hideMark/>
          </w:tcPr>
          <w:p w14:paraId="7F2E1639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year 1 </w:t>
            </w:r>
          </w:p>
        </w:tc>
        <w:tc>
          <w:tcPr>
            <w:tcW w:w="1980" w:type="dxa"/>
            <w:noWrap/>
            <w:hideMark/>
          </w:tcPr>
          <w:p w14:paraId="26178B9C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year 2 </w:t>
            </w:r>
          </w:p>
        </w:tc>
        <w:tc>
          <w:tcPr>
            <w:tcW w:w="1890" w:type="dxa"/>
            <w:noWrap/>
            <w:hideMark/>
          </w:tcPr>
          <w:p w14:paraId="70539FBC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year 3 </w:t>
            </w:r>
          </w:p>
        </w:tc>
        <w:tc>
          <w:tcPr>
            <w:tcW w:w="2520" w:type="dxa"/>
            <w:noWrap/>
            <w:hideMark/>
          </w:tcPr>
          <w:p w14:paraId="5323D4C0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>total</w:t>
            </w:r>
          </w:p>
        </w:tc>
      </w:tr>
      <w:tr w:rsidR="00ED7A93" w:rsidRPr="00AE7708" w14:paraId="4C1B8D8A" w14:textId="77777777" w:rsidTr="00ED7A93">
        <w:trPr>
          <w:trHeight w:val="620"/>
        </w:trPr>
        <w:tc>
          <w:tcPr>
            <w:tcW w:w="1300" w:type="dxa"/>
            <w:noWrap/>
            <w:hideMark/>
          </w:tcPr>
          <w:p w14:paraId="0D312D27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>Cost</w:t>
            </w:r>
          </w:p>
        </w:tc>
        <w:tc>
          <w:tcPr>
            <w:tcW w:w="2208" w:type="dxa"/>
            <w:noWrap/>
            <w:hideMark/>
          </w:tcPr>
          <w:p w14:paraId="329DE47F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(35,000,000.00)</w:t>
            </w:r>
          </w:p>
        </w:tc>
        <w:tc>
          <w:tcPr>
            <w:tcW w:w="1980" w:type="dxa"/>
            <w:noWrap/>
            <w:hideMark/>
          </w:tcPr>
          <w:p w14:paraId="6E539FDF" w14:textId="6E8DB79B" w:rsidR="00AE7708" w:rsidRPr="00AE7708" w:rsidRDefault="00ED7A93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>
              <w:rPr>
                <w:rFonts w:eastAsia="Times New Roman" w:cs="Times New Roman" w:hint="eastAsia"/>
                <w:color w:val="000000" w:themeColor="text1"/>
                <w:kern w:val="0"/>
              </w:rPr>
              <w:t>0</w:t>
            </w:r>
            <w:r w:rsidR="00AE7708"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890" w:type="dxa"/>
            <w:noWrap/>
            <w:hideMark/>
          </w:tcPr>
          <w:p w14:paraId="19290FA5" w14:textId="4CBE45ED" w:rsidR="00AE7708" w:rsidRPr="00AE7708" w:rsidRDefault="00ED7A93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>
              <w:rPr>
                <w:rFonts w:eastAsia="Times New Roman" w:cs="Times New Roman" w:hint="eastAsia"/>
                <w:color w:val="000000" w:themeColor="text1"/>
                <w:kern w:val="0"/>
              </w:rPr>
              <w:t>0</w:t>
            </w:r>
            <w:r w:rsidR="00AE7708"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2520" w:type="dxa"/>
            <w:noWrap/>
            <w:hideMark/>
          </w:tcPr>
          <w:p w14:paraId="5749FA7E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(35,000,000.00)</w:t>
            </w:r>
          </w:p>
        </w:tc>
      </w:tr>
      <w:tr w:rsidR="00ED7A93" w:rsidRPr="00AE7708" w14:paraId="310FAC6D" w14:textId="77777777" w:rsidTr="00ED7A93">
        <w:trPr>
          <w:trHeight w:val="320"/>
        </w:trPr>
        <w:tc>
          <w:tcPr>
            <w:tcW w:w="1300" w:type="dxa"/>
            <w:noWrap/>
            <w:hideMark/>
          </w:tcPr>
          <w:p w14:paraId="5811B1D6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>Net Gain</w:t>
            </w:r>
          </w:p>
        </w:tc>
        <w:tc>
          <w:tcPr>
            <w:tcW w:w="2208" w:type="dxa"/>
            <w:noWrap/>
            <w:hideMark/>
          </w:tcPr>
          <w:p w14:paraId="39E03C41" w14:textId="2D131082" w:rsidR="00AE7708" w:rsidRPr="00AE7708" w:rsidRDefault="00ED7A93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>
              <w:rPr>
                <w:rFonts w:eastAsia="Times New Roman" w:cs="Times New Roman" w:hint="eastAsia"/>
                <w:color w:val="000000" w:themeColor="text1"/>
                <w:kern w:val="0"/>
              </w:rPr>
              <w:t>0</w:t>
            </w:r>
            <w:r w:rsidR="00AE7708"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980" w:type="dxa"/>
            <w:noWrap/>
            <w:hideMark/>
          </w:tcPr>
          <w:p w14:paraId="6A745776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24,114,528.00 </w:t>
            </w:r>
          </w:p>
        </w:tc>
        <w:tc>
          <w:tcPr>
            <w:tcW w:w="1890" w:type="dxa"/>
            <w:noWrap/>
            <w:hideMark/>
          </w:tcPr>
          <w:p w14:paraId="0C4C3F82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24,114,528.00 </w:t>
            </w:r>
          </w:p>
        </w:tc>
        <w:tc>
          <w:tcPr>
            <w:tcW w:w="2520" w:type="dxa"/>
            <w:noWrap/>
            <w:hideMark/>
          </w:tcPr>
          <w:p w14:paraId="642D1872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48,229,056.00 </w:t>
            </w:r>
          </w:p>
        </w:tc>
      </w:tr>
      <w:tr w:rsidR="00ED7A93" w:rsidRPr="00AE7708" w14:paraId="0B9BF841" w14:textId="77777777" w:rsidTr="00ED7A93">
        <w:trPr>
          <w:trHeight w:val="320"/>
        </w:trPr>
        <w:tc>
          <w:tcPr>
            <w:tcW w:w="1300" w:type="dxa"/>
            <w:noWrap/>
            <w:hideMark/>
          </w:tcPr>
          <w:p w14:paraId="4156915D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>total</w:t>
            </w:r>
          </w:p>
        </w:tc>
        <w:tc>
          <w:tcPr>
            <w:tcW w:w="2208" w:type="dxa"/>
            <w:noWrap/>
            <w:hideMark/>
          </w:tcPr>
          <w:p w14:paraId="3113665E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(35,000,000.00)</w:t>
            </w:r>
          </w:p>
        </w:tc>
        <w:tc>
          <w:tcPr>
            <w:tcW w:w="1980" w:type="dxa"/>
            <w:noWrap/>
            <w:hideMark/>
          </w:tcPr>
          <w:p w14:paraId="504AE5DC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24,114,528.00 </w:t>
            </w:r>
          </w:p>
        </w:tc>
        <w:tc>
          <w:tcPr>
            <w:tcW w:w="1890" w:type="dxa"/>
            <w:noWrap/>
            <w:hideMark/>
          </w:tcPr>
          <w:p w14:paraId="64610E39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24,114,528.00 </w:t>
            </w:r>
          </w:p>
        </w:tc>
        <w:tc>
          <w:tcPr>
            <w:tcW w:w="2520" w:type="dxa"/>
            <w:noWrap/>
            <w:hideMark/>
          </w:tcPr>
          <w:p w14:paraId="7A6B90B9" w14:textId="77777777" w:rsidR="00AE7708" w:rsidRPr="00AE7708" w:rsidRDefault="00AE7708" w:rsidP="00611009">
            <w:pPr>
              <w:widowControl/>
              <w:spacing w:line="480" w:lineRule="auto"/>
              <w:jc w:val="left"/>
              <w:rPr>
                <w:rFonts w:eastAsia="Times New Roman" w:cs="Times New Roman"/>
                <w:color w:val="000000" w:themeColor="text1"/>
                <w:kern w:val="0"/>
              </w:rPr>
            </w:pPr>
            <w:r w:rsidRPr="00AE7708">
              <w:rPr>
                <w:rFonts w:eastAsia="Times New Roman" w:cs="Times New Roman"/>
                <w:color w:val="000000" w:themeColor="text1"/>
                <w:kern w:val="0"/>
              </w:rPr>
              <w:t xml:space="preserve"> 13,229,056.00 </w:t>
            </w:r>
          </w:p>
        </w:tc>
      </w:tr>
    </w:tbl>
    <w:p w14:paraId="798F9094" w14:textId="77777777" w:rsidR="00AE7708" w:rsidRDefault="00AE7708" w:rsidP="00611009">
      <w:pPr>
        <w:widowControl/>
        <w:spacing w:line="480" w:lineRule="auto"/>
        <w:jc w:val="left"/>
        <w:rPr>
          <w:rFonts w:eastAsia="Times New Roman" w:cs="Times New Roman"/>
          <w:color w:val="000000" w:themeColor="text1"/>
          <w:kern w:val="0"/>
        </w:rPr>
      </w:pPr>
    </w:p>
    <w:p w14:paraId="2EA410F0" w14:textId="77777777" w:rsidR="00EC2E17" w:rsidRDefault="00EC2E17" w:rsidP="0061100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61CE006C" w14:textId="4926D1D5" w:rsidR="00611009" w:rsidRPr="007A7D68" w:rsidRDefault="00FF0451" w:rsidP="000875AA">
      <w:pPr>
        <w:rPr>
          <w:rFonts w:cs="Times New Roman"/>
        </w:rPr>
      </w:pPr>
      <w:r w:rsidRPr="007A7D68">
        <w:rPr>
          <w:rFonts w:cs="Times New Roman"/>
        </w:rPr>
        <w:t>Institute, Uptime.</w:t>
      </w:r>
      <w:r w:rsidRPr="007A7D68">
        <w:rPr>
          <w:rFonts w:cs="Times New Roman"/>
          <w:i/>
        </w:rPr>
        <w:t xml:space="preserve"> UPTIME INSTITUTE </w:t>
      </w:r>
      <w:r w:rsidR="00611009" w:rsidRPr="007A7D68">
        <w:rPr>
          <w:rFonts w:cs="Times New Roman"/>
          <w:i/>
        </w:rPr>
        <w:t>Data Center Site Infrastructure Tier Standard: Topology</w:t>
      </w:r>
      <w:r w:rsidRPr="007A7D68">
        <w:rPr>
          <w:rFonts w:cs="Times New Roman"/>
        </w:rPr>
        <w:t>: n. pag.</w:t>
      </w:r>
      <w:r w:rsidR="00611009" w:rsidRPr="007A7D68">
        <w:rPr>
          <w:rFonts w:cs="Times New Roman"/>
        </w:rPr>
        <w:t xml:space="preserve"> </w:t>
      </w:r>
      <w:r w:rsidRPr="007A7D68">
        <w:rPr>
          <w:rFonts w:cs="Times New Roman"/>
        </w:rPr>
        <w:t>.</w:t>
      </w:r>
      <w:r w:rsidR="00611009" w:rsidRPr="007A7D68">
        <w:rPr>
          <w:rFonts w:cs="Times New Roman"/>
        </w:rPr>
        <w:t xml:space="preserve"> </w:t>
      </w:r>
      <w:r w:rsidR="00611009" w:rsidRPr="007A7D68">
        <w:rPr>
          <w:rFonts w:cs="Times New Roman"/>
          <w:i/>
        </w:rPr>
        <w:t xml:space="preserve">Uptime Institute, LLC. </w:t>
      </w:r>
      <w:r w:rsidRPr="007A7D68">
        <w:rPr>
          <w:rFonts w:cs="Times New Roman"/>
        </w:rPr>
        <w:t>2012. Web. 7 Feb. 2017.</w:t>
      </w:r>
    </w:p>
    <w:p w14:paraId="4F68263C" w14:textId="77777777" w:rsidR="000875AA" w:rsidRPr="007A7D68" w:rsidRDefault="000875AA" w:rsidP="000875AA">
      <w:pPr>
        <w:rPr>
          <w:rFonts w:cs="Times New Roman"/>
        </w:rPr>
      </w:pPr>
    </w:p>
    <w:p w14:paraId="787F86ED" w14:textId="77777777" w:rsidR="000875AA" w:rsidRPr="007A7D68" w:rsidRDefault="000875AA" w:rsidP="000875AA">
      <w:pPr>
        <w:widowControl/>
        <w:jc w:val="left"/>
        <w:rPr>
          <w:rFonts w:eastAsia="Times New Roman" w:cs="Times New Roman"/>
          <w:color w:val="000000" w:themeColor="text1"/>
          <w:kern w:val="0"/>
        </w:rPr>
      </w:pPr>
      <w:r w:rsidRPr="000875AA">
        <w:rPr>
          <w:rFonts w:eastAsia="Times New Roman" w:cs="Times New Roman"/>
          <w:color w:val="000000" w:themeColor="text1"/>
          <w:kern w:val="0"/>
        </w:rPr>
        <w:t>Beal, Vangie. "Data Center Tiers."</w:t>
      </w:r>
      <w:r w:rsidRPr="007A7D68">
        <w:rPr>
          <w:rFonts w:eastAsia="Times New Roman" w:cs="Times New Roman"/>
          <w:color w:val="000000" w:themeColor="text1"/>
          <w:kern w:val="0"/>
        </w:rPr>
        <w:t> </w:t>
      </w:r>
      <w:r w:rsidRPr="000875AA">
        <w:rPr>
          <w:rFonts w:eastAsia="Times New Roman" w:cs="Times New Roman"/>
          <w:i/>
          <w:iCs/>
          <w:color w:val="000000" w:themeColor="text1"/>
          <w:kern w:val="0"/>
        </w:rPr>
        <w:t>What Is Data Center Tiers? Webopedia Definition</w:t>
      </w:r>
      <w:r w:rsidRPr="000875AA">
        <w:rPr>
          <w:rFonts w:eastAsia="Times New Roman" w:cs="Times New Roman"/>
          <w:color w:val="000000" w:themeColor="text1"/>
          <w:kern w:val="0"/>
        </w:rPr>
        <w:t>. N.p., n.d. Web. 08 Feb. 2017.</w:t>
      </w:r>
    </w:p>
    <w:p w14:paraId="27A94960" w14:textId="77777777" w:rsidR="007A7D68" w:rsidRPr="000875AA" w:rsidRDefault="007A7D68" w:rsidP="000875AA">
      <w:pPr>
        <w:widowControl/>
        <w:jc w:val="left"/>
        <w:rPr>
          <w:rFonts w:eastAsia="Times New Roman" w:cs="Times New Roman"/>
          <w:color w:val="000000" w:themeColor="text1"/>
          <w:kern w:val="0"/>
        </w:rPr>
      </w:pPr>
    </w:p>
    <w:p w14:paraId="446311A9" w14:textId="77777777" w:rsidR="007A7D68" w:rsidRPr="007A7D68" w:rsidRDefault="007A7D68" w:rsidP="007A7D68">
      <w:pPr>
        <w:widowControl/>
        <w:jc w:val="left"/>
        <w:rPr>
          <w:rFonts w:eastAsia="Times New Roman" w:cs="Times New Roman"/>
          <w:kern w:val="0"/>
        </w:rPr>
      </w:pPr>
      <w:r w:rsidRPr="007A7D68">
        <w:rPr>
          <w:rFonts w:eastAsia="Times New Roman" w:cs="Times New Roman"/>
          <w:color w:val="000000"/>
          <w:kern w:val="0"/>
        </w:rPr>
        <w:t>"Magic Quadrant for Data Center Backup and Recovery Software." </w:t>
      </w:r>
      <w:r w:rsidRPr="007A7D68">
        <w:rPr>
          <w:rFonts w:eastAsia="Times New Roman" w:cs="Times New Roman"/>
          <w:i/>
          <w:iCs/>
          <w:color w:val="000000"/>
          <w:kern w:val="0"/>
        </w:rPr>
        <w:t>Gartner</w:t>
      </w:r>
      <w:r w:rsidRPr="007A7D68">
        <w:rPr>
          <w:rFonts w:eastAsia="Times New Roman" w:cs="Times New Roman"/>
          <w:color w:val="000000"/>
          <w:kern w:val="0"/>
        </w:rPr>
        <w:t>. Gartner, n.d. Web. 7 Feb. 2017.</w:t>
      </w:r>
    </w:p>
    <w:p w14:paraId="3B70976B" w14:textId="283905E6" w:rsidR="00D87F7E" w:rsidRPr="00EC2E17" w:rsidRDefault="00D87F7E" w:rsidP="00EC2E17">
      <w:pPr>
        <w:widowControl/>
        <w:jc w:val="left"/>
        <w:rPr>
          <w:rFonts w:eastAsia="Times New Roman" w:cs="Times New Roman"/>
          <w:color w:val="000000" w:themeColor="text1"/>
          <w:kern w:val="0"/>
        </w:rPr>
      </w:pPr>
    </w:p>
    <w:sectPr w:rsidR="00D87F7E" w:rsidRPr="00EC2E17" w:rsidSect="00611009"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26ED4"/>
    <w:multiLevelType w:val="multilevel"/>
    <w:tmpl w:val="395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7E"/>
    <w:rsid w:val="000208B9"/>
    <w:rsid w:val="00061B07"/>
    <w:rsid w:val="00076A59"/>
    <w:rsid w:val="000875AA"/>
    <w:rsid w:val="000A3F71"/>
    <w:rsid w:val="000A7D2F"/>
    <w:rsid w:val="000F6D7A"/>
    <w:rsid w:val="0010543D"/>
    <w:rsid w:val="00106827"/>
    <w:rsid w:val="001A0EBF"/>
    <w:rsid w:val="001C1B45"/>
    <w:rsid w:val="001F1F26"/>
    <w:rsid w:val="002609A7"/>
    <w:rsid w:val="00262234"/>
    <w:rsid w:val="00271B6D"/>
    <w:rsid w:val="002845F3"/>
    <w:rsid w:val="002C12A8"/>
    <w:rsid w:val="00320F5C"/>
    <w:rsid w:val="00353872"/>
    <w:rsid w:val="003930AB"/>
    <w:rsid w:val="00395A30"/>
    <w:rsid w:val="003A3324"/>
    <w:rsid w:val="003D33FE"/>
    <w:rsid w:val="00400473"/>
    <w:rsid w:val="0040054E"/>
    <w:rsid w:val="00407851"/>
    <w:rsid w:val="0045269B"/>
    <w:rsid w:val="00470796"/>
    <w:rsid w:val="0047349B"/>
    <w:rsid w:val="00474ABF"/>
    <w:rsid w:val="0049433A"/>
    <w:rsid w:val="004A2EAD"/>
    <w:rsid w:val="004F6A35"/>
    <w:rsid w:val="004F6C12"/>
    <w:rsid w:val="00501695"/>
    <w:rsid w:val="00530CEF"/>
    <w:rsid w:val="00542A70"/>
    <w:rsid w:val="00550360"/>
    <w:rsid w:val="005765D6"/>
    <w:rsid w:val="005836E4"/>
    <w:rsid w:val="00611009"/>
    <w:rsid w:val="006259A3"/>
    <w:rsid w:val="00693302"/>
    <w:rsid w:val="006A785B"/>
    <w:rsid w:val="007A638D"/>
    <w:rsid w:val="007A7D68"/>
    <w:rsid w:val="007D4A58"/>
    <w:rsid w:val="007E43A8"/>
    <w:rsid w:val="007F06AB"/>
    <w:rsid w:val="008007F9"/>
    <w:rsid w:val="00802FEA"/>
    <w:rsid w:val="00844AC2"/>
    <w:rsid w:val="008E11A9"/>
    <w:rsid w:val="008E3F3A"/>
    <w:rsid w:val="00901D3A"/>
    <w:rsid w:val="0093541E"/>
    <w:rsid w:val="0093772D"/>
    <w:rsid w:val="009525DA"/>
    <w:rsid w:val="00976F53"/>
    <w:rsid w:val="00985043"/>
    <w:rsid w:val="00994F43"/>
    <w:rsid w:val="009B1D67"/>
    <w:rsid w:val="009B3E0D"/>
    <w:rsid w:val="009B7345"/>
    <w:rsid w:val="009C1542"/>
    <w:rsid w:val="009C5E14"/>
    <w:rsid w:val="009D63A1"/>
    <w:rsid w:val="00A4725E"/>
    <w:rsid w:val="00A503C6"/>
    <w:rsid w:val="00A76615"/>
    <w:rsid w:val="00AB5443"/>
    <w:rsid w:val="00AB7F3D"/>
    <w:rsid w:val="00AD4EB4"/>
    <w:rsid w:val="00AE7708"/>
    <w:rsid w:val="00AE7C16"/>
    <w:rsid w:val="00AF09BA"/>
    <w:rsid w:val="00B003D6"/>
    <w:rsid w:val="00B0576E"/>
    <w:rsid w:val="00B2707F"/>
    <w:rsid w:val="00B301B8"/>
    <w:rsid w:val="00B501C0"/>
    <w:rsid w:val="00B61AB4"/>
    <w:rsid w:val="00BA4BC5"/>
    <w:rsid w:val="00BB33EA"/>
    <w:rsid w:val="00BB6300"/>
    <w:rsid w:val="00BD26EA"/>
    <w:rsid w:val="00BE04B5"/>
    <w:rsid w:val="00C523B4"/>
    <w:rsid w:val="00C57E0D"/>
    <w:rsid w:val="00C971BE"/>
    <w:rsid w:val="00CD1D49"/>
    <w:rsid w:val="00CF1240"/>
    <w:rsid w:val="00D14D66"/>
    <w:rsid w:val="00D41CDB"/>
    <w:rsid w:val="00D50D70"/>
    <w:rsid w:val="00D634E9"/>
    <w:rsid w:val="00D86F86"/>
    <w:rsid w:val="00D87F7E"/>
    <w:rsid w:val="00D919FE"/>
    <w:rsid w:val="00D93876"/>
    <w:rsid w:val="00DA6F1F"/>
    <w:rsid w:val="00DB198E"/>
    <w:rsid w:val="00DE24C9"/>
    <w:rsid w:val="00E07C31"/>
    <w:rsid w:val="00E12C87"/>
    <w:rsid w:val="00E17FCC"/>
    <w:rsid w:val="00E23472"/>
    <w:rsid w:val="00E42EBF"/>
    <w:rsid w:val="00E62DDD"/>
    <w:rsid w:val="00E64C8A"/>
    <w:rsid w:val="00E9294E"/>
    <w:rsid w:val="00E96CDA"/>
    <w:rsid w:val="00EC2E17"/>
    <w:rsid w:val="00ED7A93"/>
    <w:rsid w:val="00EF0C24"/>
    <w:rsid w:val="00F0756B"/>
    <w:rsid w:val="00F240AA"/>
    <w:rsid w:val="00F54A2C"/>
    <w:rsid w:val="00FC164E"/>
    <w:rsid w:val="00FC36E6"/>
    <w:rsid w:val="00FC6714"/>
    <w:rsid w:val="00FF0451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98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65D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7F7E"/>
  </w:style>
  <w:style w:type="character" w:customStyle="1" w:styleId="DateChar">
    <w:name w:val="Date Char"/>
    <w:basedOn w:val="DefaultParagraphFont"/>
    <w:link w:val="Date"/>
    <w:uiPriority w:val="99"/>
    <w:semiHidden/>
    <w:rsid w:val="00D87F7E"/>
  </w:style>
  <w:style w:type="table" w:styleId="TableGrid">
    <w:name w:val="Table Grid"/>
    <w:basedOn w:val="TableNormal"/>
    <w:uiPriority w:val="39"/>
    <w:rsid w:val="00AE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7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FEA"/>
    <w:rPr>
      <w:color w:val="954F72" w:themeColor="followedHyperlink"/>
      <w:u w:val="single"/>
    </w:rPr>
  </w:style>
  <w:style w:type="character" w:customStyle="1" w:styleId="lookup-resultcontent">
    <w:name w:val="lookup-result__content"/>
    <w:basedOn w:val="DefaultParagraphFont"/>
    <w:rsid w:val="00F0756B"/>
  </w:style>
  <w:style w:type="character" w:customStyle="1" w:styleId="Heading1Char">
    <w:name w:val="Heading 1 Char"/>
    <w:basedOn w:val="DefaultParagraphFont"/>
    <w:link w:val="Heading1"/>
    <w:uiPriority w:val="9"/>
    <w:rsid w:val="00576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nnotate">
    <w:name w:val="annotate"/>
    <w:basedOn w:val="DefaultParagraphFont"/>
    <w:rsid w:val="005765D6"/>
  </w:style>
  <w:style w:type="character" w:customStyle="1" w:styleId="apple-converted-space">
    <w:name w:val="apple-converted-space"/>
    <w:basedOn w:val="DefaultParagraphFont"/>
    <w:rsid w:val="0008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2851">
          <w:marLeft w:val="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 Zhu</dc:creator>
  <cp:keywords/>
  <dc:description/>
  <cp:lastModifiedBy>Run Zhu</cp:lastModifiedBy>
  <cp:revision>24</cp:revision>
  <dcterms:created xsi:type="dcterms:W3CDTF">2017-02-04T21:07:00Z</dcterms:created>
  <dcterms:modified xsi:type="dcterms:W3CDTF">2017-03-02T02:10:00Z</dcterms:modified>
</cp:coreProperties>
</file>