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6AD9" w14:textId="77777777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Sarita Cini</w:t>
      </w:r>
    </w:p>
    <w:p w14:paraId="0C22D330" w14:textId="77777777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915500832</w:t>
      </w:r>
    </w:p>
    <w:p w14:paraId="2F0C8F70" w14:textId="77777777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Professor Doyle</w:t>
      </w:r>
    </w:p>
    <w:p w14:paraId="0FE77B9B" w14:textId="77777777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MIS 2501-002</w:t>
      </w:r>
    </w:p>
    <w:p w14:paraId="3E7D9A76" w14:textId="77777777" w:rsidR="00D029FE" w:rsidRDefault="000A369D">
      <w:pPr>
        <w:spacing w:line="480" w:lineRule="auto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Data Centers and Networking</w:t>
      </w:r>
    </w:p>
    <w:p w14:paraId="739B80B3" w14:textId="3CE2F56A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Given the costly outages our company has experienced this past year, we can </w:t>
      </w:r>
      <w:r w:rsidR="002502B7">
        <w:rPr>
          <w:color w:val="404040"/>
          <w:sz w:val="20"/>
          <w:szCs w:val="20"/>
        </w:rPr>
        <w:t xml:space="preserve">generate a </w:t>
      </w:r>
      <w:r w:rsidR="00CD3AB2">
        <w:rPr>
          <w:color w:val="404040"/>
          <w:sz w:val="20"/>
          <w:szCs w:val="20"/>
        </w:rPr>
        <w:t>three</w:t>
      </w:r>
      <w:r w:rsidR="002502B7">
        <w:rPr>
          <w:color w:val="404040"/>
          <w:sz w:val="20"/>
          <w:szCs w:val="20"/>
        </w:rPr>
        <w:t>-year net benefit of</w:t>
      </w:r>
      <w:r>
        <w:rPr>
          <w:color w:val="404040"/>
          <w:sz w:val="20"/>
          <w:szCs w:val="20"/>
        </w:rPr>
        <w:t xml:space="preserve"> $13.3 million by replacing our Tier I data center with a more reliable Tier III data center.  As a result, we can reduce downtime by 94%, ensuring our organization can process and ship our customers’ orders in a timely fashion.</w:t>
      </w:r>
      <w:r w:rsidR="00CD3AB2">
        <w:rPr>
          <w:color w:val="404040"/>
          <w:sz w:val="20"/>
          <w:szCs w:val="20"/>
        </w:rPr>
        <w:t xml:space="preserve"> At a cost of $14,800 per minute, reducing downtime represents a major cost-savings opportunity.</w:t>
      </w:r>
    </w:p>
    <w:p w14:paraId="2FA53915" w14:textId="77777777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</w:t>
      </w:r>
    </w:p>
    <w:p w14:paraId="708B9D63" w14:textId="69EDAB10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The key capability of a Tier III data center is its high-level of reliability which reduces system outages. This is accomplished through redundancy of critical system components </w:t>
      </w:r>
      <w:r w:rsidR="00AD7D7C">
        <w:rPr>
          <w:color w:val="404040"/>
          <w:sz w:val="20"/>
          <w:szCs w:val="20"/>
        </w:rPr>
        <w:t>related to</w:t>
      </w:r>
      <w:r>
        <w:rPr>
          <w:color w:val="404040"/>
          <w:sz w:val="20"/>
          <w:szCs w:val="20"/>
        </w:rPr>
        <w:t xml:space="preserve"> capacity, distribution and power. If any single component is interrupted, another redundant component can take over to perform critical tasks. As a result, a Tier III data center has 99.98% availability compared to the 99.67% availability of our existing data center. This level of availa</w:t>
      </w:r>
      <w:bookmarkStart w:id="0" w:name="_GoBack"/>
      <w:bookmarkEnd w:id="0"/>
      <w:r>
        <w:rPr>
          <w:color w:val="404040"/>
          <w:sz w:val="20"/>
          <w:szCs w:val="20"/>
        </w:rPr>
        <w:t>bility will reduce our company’s costly downtime from 1,736 minutes per year to 105 minutes.</w:t>
      </w:r>
    </w:p>
    <w:p w14:paraId="3721D919" w14:textId="77777777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</w:t>
      </w:r>
    </w:p>
    <w:p w14:paraId="289270EC" w14:textId="2A102023" w:rsidR="00D029FE" w:rsidRDefault="000A369D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The cost associated with a Tier III data center over three years is $63.8 million</w:t>
      </w:r>
      <w:r w:rsidR="0031158E">
        <w:rPr>
          <w:color w:val="404040"/>
          <w:sz w:val="20"/>
          <w:szCs w:val="20"/>
        </w:rPr>
        <w:t>,</w:t>
      </w:r>
      <w:r>
        <w:rPr>
          <w:color w:val="404040"/>
          <w:sz w:val="20"/>
          <w:szCs w:val="20"/>
        </w:rPr>
        <w:t xml:space="preserve"> consisting of the cost to build the data center as well as the cost of the reduced downtime. Over three years this more reliable data center will </w:t>
      </w:r>
      <w:r w:rsidR="00AD7D7C">
        <w:rPr>
          <w:color w:val="404040"/>
          <w:sz w:val="20"/>
          <w:szCs w:val="20"/>
        </w:rPr>
        <w:t>result in a cost avoidance benefit of</w:t>
      </w:r>
      <w:r>
        <w:rPr>
          <w:color w:val="404040"/>
          <w:sz w:val="20"/>
          <w:szCs w:val="20"/>
        </w:rPr>
        <w:t xml:space="preserve"> $77.1 million </w:t>
      </w:r>
      <w:r w:rsidR="00AD7D7C">
        <w:rPr>
          <w:color w:val="404040"/>
          <w:sz w:val="20"/>
          <w:szCs w:val="20"/>
        </w:rPr>
        <w:t xml:space="preserve">by avoiding the </w:t>
      </w:r>
      <w:r>
        <w:rPr>
          <w:color w:val="404040"/>
          <w:sz w:val="20"/>
          <w:szCs w:val="20"/>
        </w:rPr>
        <w:t xml:space="preserve">cost of </w:t>
      </w:r>
      <w:r w:rsidR="00AD7D7C">
        <w:rPr>
          <w:color w:val="404040"/>
          <w:sz w:val="20"/>
          <w:szCs w:val="20"/>
        </w:rPr>
        <w:t xml:space="preserve">higher </w:t>
      </w:r>
      <w:r>
        <w:rPr>
          <w:color w:val="404040"/>
          <w:sz w:val="20"/>
          <w:szCs w:val="20"/>
        </w:rPr>
        <w:t>downtime</w:t>
      </w:r>
      <w:r w:rsidR="00AD7D7C">
        <w:rPr>
          <w:color w:val="404040"/>
          <w:sz w:val="20"/>
          <w:szCs w:val="20"/>
        </w:rPr>
        <w:t xml:space="preserve">s </w:t>
      </w:r>
      <w:r>
        <w:rPr>
          <w:color w:val="404040"/>
          <w:sz w:val="20"/>
          <w:szCs w:val="20"/>
        </w:rPr>
        <w:t>using our current data center. The</w:t>
      </w:r>
      <w:r w:rsidR="00AD7D7C">
        <w:rPr>
          <w:color w:val="404040"/>
          <w:sz w:val="20"/>
          <w:szCs w:val="20"/>
        </w:rPr>
        <w:t xml:space="preserve"> </w:t>
      </w:r>
      <w:r w:rsidR="00CD3AB2">
        <w:rPr>
          <w:color w:val="404040"/>
          <w:sz w:val="20"/>
          <w:szCs w:val="20"/>
        </w:rPr>
        <w:t>three</w:t>
      </w:r>
      <w:r w:rsidR="00AD7D7C">
        <w:rPr>
          <w:color w:val="404040"/>
          <w:sz w:val="20"/>
          <w:szCs w:val="20"/>
        </w:rPr>
        <w:t>-year</w:t>
      </w:r>
      <w:r>
        <w:rPr>
          <w:color w:val="404040"/>
          <w:sz w:val="20"/>
          <w:szCs w:val="20"/>
        </w:rPr>
        <w:t xml:space="preserve"> net benefit of a Tier III data center is $13.3 million, making this a compelling investment for our company.</w:t>
      </w:r>
    </w:p>
    <w:p w14:paraId="1502C33C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2608A2CD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345A4952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06BBA722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68077CBF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02498A7A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5A520AB0" w14:textId="3A6FD4D5" w:rsidR="00D029FE" w:rsidRPr="00CC585B" w:rsidRDefault="00CC585B" w:rsidP="00CC585B">
      <w:pPr>
        <w:spacing w:line="480" w:lineRule="auto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Diagrams</w:t>
      </w:r>
    </w:p>
    <w:p w14:paraId="1870EDC4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3F5E2AEE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tbl>
      <w:tblPr>
        <w:tblW w:w="12056" w:type="dxa"/>
        <w:tblInd w:w="-1152" w:type="dxa"/>
        <w:tblLook w:val="04A0" w:firstRow="1" w:lastRow="0" w:firstColumn="1" w:lastColumn="0" w:noHBand="0" w:noVBand="1"/>
      </w:tblPr>
      <w:tblGrid>
        <w:gridCol w:w="2560"/>
        <w:gridCol w:w="1329"/>
        <w:gridCol w:w="251"/>
        <w:gridCol w:w="2600"/>
        <w:gridCol w:w="1329"/>
        <w:gridCol w:w="1329"/>
        <w:gridCol w:w="1329"/>
        <w:gridCol w:w="1329"/>
      </w:tblGrid>
      <w:tr w:rsidR="00CC585B" w:rsidRPr="00CC585B" w14:paraId="76E8BB5B" w14:textId="77777777" w:rsidTr="00CC585B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0D8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Traditional Upfront Costs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F73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B7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BC6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8EFB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145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BF4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85D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</w:t>
            </w:r>
          </w:p>
        </w:tc>
      </w:tr>
      <w:tr w:rsidR="00CC585B" w:rsidRPr="00CC585B" w14:paraId="6F7E2FAB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96F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FE0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95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FF7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4D0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B6E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905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E85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CC585B" w:rsidRPr="00CC585B" w14:paraId="1A2B6D2E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7A4F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F61B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14E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FD75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Upfront Costs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A38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$35,000,000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369F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4C10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3DE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$35,000,000</w:t>
            </w:r>
          </w:p>
        </w:tc>
      </w:tr>
      <w:tr w:rsidR="00CC585B" w:rsidRPr="00CC585B" w14:paraId="0B819A50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3709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Upfront Cost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4060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DF0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215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Downtime Costs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65D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$25,692,800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E0E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$1,554,000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35E9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$1,554,000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169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$28,800,800</w:t>
            </w:r>
          </w:p>
        </w:tc>
      </w:tr>
      <w:tr w:rsidR="00CC585B" w:rsidRPr="00CC585B" w14:paraId="5F585092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62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0F2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D4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86D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B77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7A73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2E3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8A46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$0</w:t>
            </w:r>
          </w:p>
        </w:tc>
      </w:tr>
      <w:tr w:rsidR="00CC585B" w:rsidRPr="00CC585B" w14:paraId="1F18CD90" w14:textId="77777777" w:rsidTr="00CC585B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7D79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Traditional Variable Cost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956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45F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43C7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Costs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07C1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716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427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15C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$63,800,800</w:t>
            </w:r>
          </w:p>
        </w:tc>
      </w:tr>
      <w:tr w:rsidR="00CC585B" w:rsidRPr="00CC585B" w14:paraId="1C5D3535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2C55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Downtime per min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A2F2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$14,800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8C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EBE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4B1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B94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C56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4884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CC585B" w:rsidRPr="00CC585B" w14:paraId="0F9F13EB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002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Minutes of downtime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BAF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$1,736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F1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D67D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Cost Avoidance Benefits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129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501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D65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C290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CC585B" w:rsidRPr="00CC585B" w14:paraId="470AD6A4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DA1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Annual Cost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754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$25,692,800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53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533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Downtime Costs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5A5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$25,692,800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C08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$25,692,800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B7A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$25,692,800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801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$77,078,400</w:t>
            </w:r>
          </w:p>
        </w:tc>
      </w:tr>
      <w:tr w:rsidR="00CC585B" w:rsidRPr="00CC585B" w14:paraId="3A24A4A7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00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D3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38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80DF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CDD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6B2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6E6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043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$0</w:t>
            </w:r>
          </w:p>
        </w:tc>
      </w:tr>
      <w:tr w:rsidR="00CC585B" w:rsidRPr="00CC585B" w14:paraId="0A72EC7E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644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ACF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3EA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162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2BC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92A9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03E6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7BE0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$0</w:t>
            </w:r>
          </w:p>
        </w:tc>
      </w:tr>
      <w:tr w:rsidR="00CC585B" w:rsidRPr="00CC585B" w14:paraId="6827B0BB" w14:textId="77777777" w:rsidTr="00CC585B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bottom"/>
            <w:hideMark/>
          </w:tcPr>
          <w:p w14:paraId="75E7433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New Upfront Costs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4E1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EA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1BC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Benefits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77BD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6A96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E3E3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D33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$77,078,400</w:t>
            </w:r>
          </w:p>
        </w:tc>
      </w:tr>
      <w:tr w:rsidR="00CC585B" w:rsidRPr="00CC585B" w14:paraId="5FEF07D6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E84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Cost to build datacenter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A64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$35,000,000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1F9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6CC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B30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2DB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A51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348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CC585B" w:rsidRPr="00CC585B" w14:paraId="22C08493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C87D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260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BB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F032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Net Benefits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905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053F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03F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493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$13,277,600</w:t>
            </w:r>
          </w:p>
        </w:tc>
      </w:tr>
      <w:tr w:rsidR="00CC585B" w:rsidRPr="00CC585B" w14:paraId="45EE11A9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C5F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Upfront Cost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179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$35,000,000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EDC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EC7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B90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967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1BC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4012E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CC585B" w:rsidRPr="00CC585B" w14:paraId="743711C4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52F7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AE0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29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7B1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82E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34A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C92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2C9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CC585B" w:rsidRPr="00CC585B" w14:paraId="7D21B9C7" w14:textId="77777777" w:rsidTr="00CC585B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bottom"/>
            <w:hideMark/>
          </w:tcPr>
          <w:p w14:paraId="7FB189D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New Annual Cost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87E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23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C8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72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60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36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D59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CC585B" w:rsidRPr="00CC585B" w14:paraId="579E5BD5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0E0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Downtime per min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79B6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$14,800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EED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AE8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EE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D7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C35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EB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CC585B" w:rsidRPr="00CC585B" w14:paraId="6C75388A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EAE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Minutes of downtime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32D5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color w:val="auto"/>
                <w:sz w:val="20"/>
                <w:szCs w:val="20"/>
                <w:lang w:val="en-US"/>
              </w:rPr>
              <w:t>$105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9C9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EE02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B1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0DB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87E3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C9A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CC585B" w:rsidRPr="00CC585B" w14:paraId="6EB85EE6" w14:textId="77777777" w:rsidTr="00CC585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6E511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Annual Cost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9C68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C585B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$1,554,000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3CD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DB4B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D0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B50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2574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A15D" w14:textId="77777777" w:rsidR="00CC585B" w:rsidRPr="00CC585B" w:rsidRDefault="00CC585B" w:rsidP="00CC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1AA1C52E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4B162B96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2C92E3F9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1A409011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39E39007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6A192AB1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6287B372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0AFC12E1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036CFBE3" w14:textId="77777777" w:rsidR="00D029FE" w:rsidRDefault="00D029FE">
      <w:pPr>
        <w:spacing w:line="480" w:lineRule="auto"/>
        <w:rPr>
          <w:color w:val="404040"/>
          <w:sz w:val="20"/>
          <w:szCs w:val="20"/>
        </w:rPr>
      </w:pPr>
    </w:p>
    <w:p w14:paraId="720EF362" w14:textId="77777777" w:rsidR="00CC585B" w:rsidRDefault="00CC585B" w:rsidP="00CC585B">
      <w:pPr>
        <w:spacing w:line="480" w:lineRule="auto"/>
        <w:rPr>
          <w:color w:val="404040"/>
          <w:sz w:val="20"/>
          <w:szCs w:val="20"/>
        </w:rPr>
      </w:pPr>
    </w:p>
    <w:p w14:paraId="123E82DF" w14:textId="429BFC0D" w:rsidR="00D029FE" w:rsidRDefault="000A369D" w:rsidP="00CC585B">
      <w:pPr>
        <w:spacing w:line="48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References</w:t>
      </w:r>
    </w:p>
    <w:p w14:paraId="032F5951" w14:textId="7199DC88" w:rsidR="00D029FE" w:rsidRDefault="000A369D" w:rsidP="00CC585B">
      <w:pPr>
        <w:spacing w:before="260" w:after="260" w:line="480" w:lineRule="auto"/>
        <w:ind w:left="720" w:hanging="72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Uptime Professional Services, LLC (2012). Data Center Site Infrastructure</w:t>
      </w:r>
      <w:r>
        <w:rPr>
          <w:color w:val="404040"/>
          <w:sz w:val="20"/>
          <w:szCs w:val="20"/>
        </w:rPr>
        <w:br/>
        <w:t>Tier Standard: Topology</w:t>
      </w:r>
      <w:r>
        <w:t xml:space="preserve">. </w:t>
      </w:r>
      <w:r>
        <w:rPr>
          <w:i/>
          <w:sz w:val="20"/>
          <w:szCs w:val="20"/>
        </w:rPr>
        <w:t xml:space="preserve">Uptime Institute, </w:t>
      </w:r>
      <w:r>
        <w:rPr>
          <w:color w:val="404040"/>
          <w:sz w:val="20"/>
          <w:szCs w:val="20"/>
        </w:rPr>
        <w:t>1-2.</w:t>
      </w:r>
    </w:p>
    <w:p w14:paraId="4A8223A9" w14:textId="77777777" w:rsidR="00D029FE" w:rsidRDefault="000A369D" w:rsidP="00CC585B">
      <w:pPr>
        <w:spacing w:before="260" w:after="260" w:line="480" w:lineRule="auto"/>
        <w:ind w:left="720" w:hanging="720"/>
        <w:rPr>
          <w:color w:val="404040"/>
          <w:sz w:val="20"/>
          <w:szCs w:val="20"/>
        </w:rPr>
      </w:pPr>
      <w:r>
        <w:rPr>
          <w:color w:val="323232"/>
          <w:sz w:val="20"/>
          <w:szCs w:val="20"/>
          <w:highlight w:val="white"/>
        </w:rPr>
        <w:t>Ramasamy, Mahalingam. (</w:t>
      </w:r>
      <w:proofErr w:type="gramStart"/>
      <w:r>
        <w:rPr>
          <w:color w:val="323232"/>
          <w:sz w:val="20"/>
          <w:szCs w:val="20"/>
          <w:highlight w:val="white"/>
        </w:rPr>
        <w:t>March,</w:t>
      </w:r>
      <w:proofErr w:type="gramEnd"/>
      <w:r>
        <w:rPr>
          <w:color w:val="323232"/>
          <w:sz w:val="20"/>
          <w:szCs w:val="20"/>
          <w:highlight w:val="white"/>
        </w:rPr>
        <w:t xml:space="preserve"> 2011). Tier 3 data center specifications checklist. </w:t>
      </w:r>
      <w:r>
        <w:rPr>
          <w:i/>
          <w:color w:val="323232"/>
          <w:sz w:val="20"/>
          <w:szCs w:val="20"/>
          <w:highlight w:val="white"/>
        </w:rPr>
        <w:t xml:space="preserve">Computer Weekly. </w:t>
      </w:r>
      <w:r>
        <w:rPr>
          <w:color w:val="323232"/>
          <w:sz w:val="20"/>
          <w:szCs w:val="20"/>
          <w:highlight w:val="white"/>
        </w:rPr>
        <w:t xml:space="preserve">Retrieved from </w:t>
      </w:r>
      <w:r>
        <w:rPr>
          <w:color w:val="404040"/>
          <w:sz w:val="20"/>
          <w:szCs w:val="20"/>
        </w:rPr>
        <w:t>http://www.computerweekly.com/tip/Tier-3-data-center-specifications-checklist</w:t>
      </w:r>
    </w:p>
    <w:p w14:paraId="7D9EDCD1" w14:textId="77777777" w:rsidR="00D029FE" w:rsidRDefault="000A369D" w:rsidP="00CC585B">
      <w:pPr>
        <w:spacing w:line="480" w:lineRule="auto"/>
        <w:ind w:left="720" w:hanging="720"/>
      </w:pPr>
      <w:r>
        <w:rPr>
          <w:color w:val="323232"/>
          <w:sz w:val="20"/>
          <w:szCs w:val="20"/>
          <w:highlight w:val="white"/>
        </w:rPr>
        <w:t>Hatton, Ben. (</w:t>
      </w:r>
      <w:proofErr w:type="gramStart"/>
      <w:r>
        <w:rPr>
          <w:color w:val="323232"/>
          <w:sz w:val="20"/>
          <w:szCs w:val="20"/>
          <w:highlight w:val="white"/>
        </w:rPr>
        <w:t>February,</w:t>
      </w:r>
      <w:proofErr w:type="gramEnd"/>
      <w:r>
        <w:rPr>
          <w:color w:val="323232"/>
          <w:sz w:val="20"/>
          <w:szCs w:val="20"/>
          <w:highlight w:val="white"/>
        </w:rPr>
        <w:t xml:space="preserve"> 2014). Data Center Tiers Explained. </w:t>
      </w:r>
      <w:r>
        <w:rPr>
          <w:i/>
          <w:color w:val="323232"/>
          <w:sz w:val="20"/>
          <w:szCs w:val="20"/>
          <w:highlight w:val="white"/>
        </w:rPr>
        <w:t xml:space="preserve">Data Cave. </w:t>
      </w:r>
      <w:r>
        <w:rPr>
          <w:color w:val="323232"/>
          <w:sz w:val="20"/>
          <w:szCs w:val="20"/>
          <w:highlight w:val="white"/>
        </w:rPr>
        <w:t>Retrieved from https://www.thedatacave.com/data-center-tiers-explained</w:t>
      </w:r>
    </w:p>
    <w:p w14:paraId="528A2746" w14:textId="77777777" w:rsidR="00D029FE" w:rsidRDefault="00D029FE" w:rsidP="00CC585B">
      <w:pPr>
        <w:spacing w:line="480" w:lineRule="auto"/>
        <w:ind w:left="720" w:hanging="720"/>
      </w:pPr>
    </w:p>
    <w:sectPr w:rsidR="00D029F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9FE"/>
    <w:rsid w:val="000A369D"/>
    <w:rsid w:val="002502B7"/>
    <w:rsid w:val="0031158E"/>
    <w:rsid w:val="009265D1"/>
    <w:rsid w:val="00AD7D7C"/>
    <w:rsid w:val="00C402AC"/>
    <w:rsid w:val="00CC585B"/>
    <w:rsid w:val="00CD3AB2"/>
    <w:rsid w:val="00D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48DF"/>
  <w15:docId w15:val="{C86450B1-1DBD-430A-9FDE-0397A03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Sarita Cini</cp:lastModifiedBy>
  <cp:revision>6</cp:revision>
  <dcterms:created xsi:type="dcterms:W3CDTF">2018-02-28T10:45:00Z</dcterms:created>
  <dcterms:modified xsi:type="dcterms:W3CDTF">2018-02-28T17:54:00Z</dcterms:modified>
</cp:coreProperties>
</file>