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2D" w:rsidRDefault="00E0592D" w:rsidP="00E0592D">
      <w:pPr>
        <w:pStyle w:val="Heading1"/>
        <w:jc w:val="center"/>
        <w:rPr>
          <w:rFonts w:asciiTheme="minorHAnsi" w:hAnsiTheme="minorHAnsi"/>
        </w:rPr>
      </w:pPr>
      <w:r w:rsidRPr="00A054E1">
        <w:rPr>
          <w:rFonts w:asciiTheme="minorHAnsi" w:hAnsiTheme="minorHAnsi"/>
        </w:rPr>
        <w:t xml:space="preserve">Governance Patterns </w:t>
      </w:r>
      <w:r w:rsidR="00C03C27">
        <w:rPr>
          <w:rFonts w:asciiTheme="minorHAnsi" w:hAnsiTheme="minorHAnsi"/>
        </w:rPr>
        <w:t>of</w:t>
      </w:r>
      <w:r w:rsidR="00C03C27" w:rsidRPr="00A054E1">
        <w:rPr>
          <w:rFonts w:asciiTheme="minorHAnsi" w:hAnsiTheme="minorHAnsi"/>
        </w:rPr>
        <w:t xml:space="preserve"> </w:t>
      </w:r>
      <w:r w:rsidRPr="00A054E1">
        <w:rPr>
          <w:rFonts w:asciiTheme="minorHAnsi" w:hAnsiTheme="minorHAnsi"/>
        </w:rPr>
        <w:t>U.S. Public Safety Networks: Preliminary Findings from a Fuzzy Set Qualitative Comparison Analysis</w:t>
      </w:r>
    </w:p>
    <w:p w:rsidR="00B6492A" w:rsidRPr="00B6492A" w:rsidRDefault="00B6492A" w:rsidP="00B6492A">
      <w:pPr>
        <w:jc w:val="center"/>
        <w:rPr>
          <w:i/>
          <w:color w:val="2E74B5" w:themeColor="accent1" w:themeShade="BF"/>
        </w:rPr>
      </w:pPr>
      <w:r w:rsidRPr="00B6492A">
        <w:rPr>
          <w:i/>
          <w:color w:val="2E74B5" w:themeColor="accent1" w:themeShade="BF"/>
        </w:rPr>
        <w:t>RESEARCH IN PROGRESS</w:t>
      </w:r>
    </w:p>
    <w:p w:rsidR="00E0592D" w:rsidRPr="00A054E1" w:rsidRDefault="00E0592D" w:rsidP="00E0592D">
      <w:pPr>
        <w:jc w:val="center"/>
      </w:pPr>
      <w:r w:rsidRPr="00A054E1">
        <w:t>By</w:t>
      </w:r>
    </w:p>
    <w:p w:rsidR="00E0592D" w:rsidRPr="00A054E1" w:rsidRDefault="00E0592D" w:rsidP="00E0592D">
      <w:pPr>
        <w:jc w:val="center"/>
        <w:sectPr w:rsidR="00E0592D" w:rsidRPr="00A054E1" w:rsidSect="00C03C27">
          <w:pgSz w:w="12240" w:h="15840"/>
          <w:pgMar w:top="1440" w:right="1440" w:bottom="1440" w:left="1440" w:header="720" w:footer="720" w:gutter="0"/>
          <w:cols w:space="720"/>
          <w:docGrid w:linePitch="360"/>
        </w:sectPr>
      </w:pPr>
    </w:p>
    <w:p w:rsidR="004B1693" w:rsidRPr="00A054E1" w:rsidRDefault="004B1693" w:rsidP="004B1693">
      <w:pPr>
        <w:spacing w:after="0"/>
        <w:jc w:val="center"/>
      </w:pPr>
      <w:r w:rsidRPr="00A054E1">
        <w:lastRenderedPageBreak/>
        <w:t>Jane Fedorowicz</w:t>
      </w:r>
    </w:p>
    <w:p w:rsidR="004B1693" w:rsidRPr="00A054E1" w:rsidRDefault="004B1693" w:rsidP="004B1693">
      <w:pPr>
        <w:spacing w:after="0"/>
        <w:jc w:val="center"/>
      </w:pPr>
      <w:r w:rsidRPr="00A054E1">
        <w:t>Bentley University</w:t>
      </w:r>
    </w:p>
    <w:p w:rsidR="004B1693" w:rsidRPr="00A054E1" w:rsidRDefault="004B1693" w:rsidP="004B1693">
      <w:pPr>
        <w:spacing w:after="0"/>
        <w:jc w:val="center"/>
      </w:pPr>
      <w:r w:rsidRPr="00A054E1">
        <w:t>Waltham, MA USA</w:t>
      </w:r>
    </w:p>
    <w:p w:rsidR="00E0592D" w:rsidRPr="00A054E1" w:rsidRDefault="00E0592D" w:rsidP="00E0592D">
      <w:pPr>
        <w:spacing w:after="0"/>
        <w:jc w:val="center"/>
      </w:pPr>
      <w:r w:rsidRPr="00A054E1">
        <w:lastRenderedPageBreak/>
        <w:t>Steve Sawyer</w:t>
      </w:r>
    </w:p>
    <w:p w:rsidR="00E0592D" w:rsidRPr="00A054E1" w:rsidRDefault="00E0592D" w:rsidP="00E0592D">
      <w:pPr>
        <w:spacing w:after="0"/>
        <w:jc w:val="center"/>
      </w:pPr>
      <w:r w:rsidRPr="00A054E1">
        <w:t>Syracuse University</w:t>
      </w:r>
    </w:p>
    <w:p w:rsidR="00E0592D" w:rsidRPr="00A054E1" w:rsidRDefault="00E0592D" w:rsidP="00E0592D">
      <w:pPr>
        <w:spacing w:after="0"/>
        <w:jc w:val="center"/>
      </w:pPr>
      <w:r w:rsidRPr="00A054E1">
        <w:t>Syracuse, NY USA</w:t>
      </w:r>
    </w:p>
    <w:p w:rsidR="00E0592D" w:rsidRPr="00A054E1" w:rsidRDefault="00E0592D" w:rsidP="00E0592D">
      <w:pPr>
        <w:spacing w:after="0"/>
        <w:jc w:val="center"/>
      </w:pPr>
      <w:r w:rsidRPr="00A054E1">
        <w:lastRenderedPageBreak/>
        <w:t>Arthur Tomasino</w:t>
      </w:r>
    </w:p>
    <w:p w:rsidR="00E0592D" w:rsidRPr="00A054E1" w:rsidRDefault="00E0592D" w:rsidP="00E0592D">
      <w:pPr>
        <w:spacing w:after="0"/>
        <w:jc w:val="center"/>
      </w:pPr>
      <w:r w:rsidRPr="00A054E1">
        <w:t>Bentley University</w:t>
      </w:r>
    </w:p>
    <w:p w:rsidR="00E0592D" w:rsidRPr="00A054E1" w:rsidRDefault="00E0592D" w:rsidP="00E0592D">
      <w:pPr>
        <w:spacing w:after="0"/>
        <w:jc w:val="center"/>
        <w:sectPr w:rsidR="00E0592D" w:rsidRPr="00A054E1" w:rsidSect="00E0592D">
          <w:type w:val="continuous"/>
          <w:pgSz w:w="12240" w:h="15840"/>
          <w:pgMar w:top="1440" w:right="1440" w:bottom="1440" w:left="1440" w:header="720" w:footer="720" w:gutter="0"/>
          <w:cols w:num="3" w:space="720"/>
          <w:docGrid w:linePitch="360"/>
        </w:sectPr>
      </w:pPr>
      <w:r w:rsidRPr="00A054E1">
        <w:t>Waltham, MA USA</w:t>
      </w:r>
    </w:p>
    <w:p w:rsidR="00E0592D" w:rsidRPr="00A054E1" w:rsidRDefault="00E0592D" w:rsidP="00E0592D">
      <w:pPr>
        <w:jc w:val="center"/>
        <w:sectPr w:rsidR="00E0592D" w:rsidRPr="00A054E1" w:rsidSect="00E0592D">
          <w:type w:val="continuous"/>
          <w:pgSz w:w="12240" w:h="15840"/>
          <w:pgMar w:top="1440" w:right="1440" w:bottom="1440" w:left="1440" w:header="720" w:footer="720" w:gutter="0"/>
          <w:cols w:space="720"/>
          <w:docGrid w:linePitch="360"/>
        </w:sectPr>
      </w:pPr>
    </w:p>
    <w:p w:rsidR="00E0592D" w:rsidRPr="00A054E1" w:rsidRDefault="00E0592D" w:rsidP="00E0592D">
      <w:pPr>
        <w:jc w:val="center"/>
      </w:pPr>
      <w:r w:rsidRPr="00A054E1">
        <w:lastRenderedPageBreak/>
        <w:t>February 18, 2014</w:t>
      </w:r>
    </w:p>
    <w:p w:rsidR="00E0592D" w:rsidRPr="00A054E1" w:rsidRDefault="00E0592D" w:rsidP="00E0592D">
      <w:pPr>
        <w:jc w:val="center"/>
      </w:pPr>
      <w:r w:rsidRPr="00A054E1">
        <w:t>EXTENDED ABSTRACT</w:t>
      </w:r>
    </w:p>
    <w:p w:rsidR="00E0592D" w:rsidRPr="00CE3237" w:rsidRDefault="00FA1976" w:rsidP="00E0592D">
      <w:pPr>
        <w:rPr>
          <w:i/>
        </w:rPr>
      </w:pPr>
      <w:r w:rsidRPr="00FA1976">
        <w:rPr>
          <w:i/>
        </w:rPr>
        <w:t>The Public Safety Networks Study team</w:t>
      </w:r>
      <w:r w:rsidRPr="00FA1976">
        <w:rPr>
          <w:rStyle w:val="FootnoteReference"/>
          <w:i/>
        </w:rPr>
        <w:footnoteReference w:id="1"/>
      </w:r>
      <w:r w:rsidRPr="00FA1976">
        <w:rPr>
          <w:i/>
        </w:rPr>
        <w:t>, housed at Bentley University and Syracuse University, provides an  interdisciplinary perspective on the sociotechnical issues pertaining to the initiation, design, uses and successes of interorganizational systems supporting cross-agency communications and information sharing in the public sector. The results to be shared in this presentation represent the latest in a series of studies and analyses conducted by the project team. This is a work in progress.</w:t>
      </w:r>
    </w:p>
    <w:p w:rsidR="009F44F1" w:rsidRDefault="000D0569" w:rsidP="00E0592D">
      <w:pPr>
        <w:rPr>
          <w:rFonts w:ascii="Times New Roman" w:hAnsi="Times New Roman" w:cs="Times New Roman"/>
          <w:szCs w:val="20"/>
        </w:rPr>
      </w:pPr>
      <w:r w:rsidRPr="00A054E1">
        <w:t xml:space="preserve">The paper under development </w:t>
      </w:r>
      <w:r w:rsidR="00A054E1" w:rsidRPr="00A054E1">
        <w:t>extends our prior examination into</w:t>
      </w:r>
      <w:r w:rsidRPr="00A054E1">
        <w:t xml:space="preserve"> configurations of design of public safety networks (PSNs)</w:t>
      </w:r>
      <w:r w:rsidR="00C03C27">
        <w:t xml:space="preserve">, </w:t>
      </w:r>
      <w:r w:rsidR="00CE3237">
        <w:t>concentrating</w:t>
      </w:r>
      <w:r w:rsidR="00C03C27">
        <w:t xml:space="preserve"> on the role governance plays</w:t>
      </w:r>
      <w:r w:rsidRPr="00A054E1">
        <w:t xml:space="preserve">. </w:t>
      </w:r>
      <w:r w:rsidR="00C03C27">
        <w:t xml:space="preserve">The focus of the analysis, </w:t>
      </w:r>
      <w:r w:rsidR="007A0512" w:rsidRPr="007A0512">
        <w:rPr>
          <w:rFonts w:cs="Times New Roman"/>
          <w:szCs w:val="20"/>
        </w:rPr>
        <w:t>PSNs</w:t>
      </w:r>
      <w:r w:rsidR="00C03C27">
        <w:rPr>
          <w:rFonts w:cs="Times New Roman"/>
          <w:szCs w:val="20"/>
        </w:rPr>
        <w:t>,</w:t>
      </w:r>
      <w:r w:rsidR="007A0512" w:rsidRPr="007A0512">
        <w:rPr>
          <w:rFonts w:cs="Times New Roman"/>
          <w:szCs w:val="20"/>
        </w:rPr>
        <w:t xml:space="preserve"> are inter-agency collaborations </w:t>
      </w:r>
      <w:r w:rsidR="00C03C27">
        <w:rPr>
          <w:rFonts w:cs="Times New Roman"/>
          <w:szCs w:val="20"/>
        </w:rPr>
        <w:t>which support</w:t>
      </w:r>
      <w:r w:rsidR="007A0512" w:rsidRPr="007A0512">
        <w:rPr>
          <w:rFonts w:cs="Times New Roman"/>
          <w:szCs w:val="20"/>
        </w:rPr>
        <w:t xml:space="preserve"> the development and use</w:t>
      </w:r>
      <w:r w:rsidR="00C03C27">
        <w:rPr>
          <w:rFonts w:cs="Times New Roman"/>
          <w:szCs w:val="20"/>
        </w:rPr>
        <w:t>s</w:t>
      </w:r>
      <w:r w:rsidR="007A0512" w:rsidRPr="007A0512">
        <w:rPr>
          <w:rFonts w:cs="Times New Roman"/>
          <w:szCs w:val="20"/>
        </w:rPr>
        <w:t xml:space="preserve"> of interorganizational systems to </w:t>
      </w:r>
      <w:r w:rsidR="00C03C27">
        <w:rPr>
          <w:rFonts w:cs="Times New Roman"/>
          <w:szCs w:val="20"/>
        </w:rPr>
        <w:t>enhance</w:t>
      </w:r>
      <w:r w:rsidR="007A0512" w:rsidRPr="007A0512">
        <w:rPr>
          <w:rFonts w:cs="Times New Roman"/>
          <w:szCs w:val="20"/>
        </w:rPr>
        <w:t xml:space="preserve"> information sharing and functional interoperability needs of public safety agencies engaged in law enforcement, criminal justice, and emergency response (Fedorowicz et al, 2007).</w:t>
      </w:r>
      <w:r w:rsidR="007A0512" w:rsidRPr="007A0512">
        <w:rPr>
          <w:rFonts w:ascii="Times New Roman" w:hAnsi="Times New Roman" w:cs="Times New Roman"/>
          <w:szCs w:val="20"/>
        </w:rPr>
        <w:t xml:space="preserve">  </w:t>
      </w:r>
      <w:r w:rsidR="00C03C27">
        <w:rPr>
          <w:rFonts w:ascii="Times New Roman" w:hAnsi="Times New Roman" w:cs="Times New Roman"/>
          <w:szCs w:val="20"/>
        </w:rPr>
        <w:t>More broadly, PSN are a specific form of interorganizational information-sharing system (IOS)</w:t>
      </w:r>
      <w:r w:rsidR="00CE3237">
        <w:rPr>
          <w:rFonts w:ascii="Times New Roman" w:hAnsi="Times New Roman" w:cs="Times New Roman"/>
          <w:szCs w:val="20"/>
        </w:rPr>
        <w:t>.</w:t>
      </w:r>
      <w:r w:rsidR="009F44F1">
        <w:rPr>
          <w:rFonts w:ascii="Times New Roman" w:hAnsi="Times New Roman" w:cs="Times New Roman"/>
          <w:szCs w:val="20"/>
        </w:rPr>
        <w:t xml:space="preserve"> </w:t>
      </w:r>
    </w:p>
    <w:p w:rsidR="000D0569" w:rsidRPr="00A054E1" w:rsidRDefault="009F44F1" w:rsidP="00E0592D">
      <w:r>
        <w:t xml:space="preserve">In this paper </w:t>
      </w:r>
      <w:r w:rsidR="008D006D">
        <w:t>we extend</w:t>
      </w:r>
      <w:r>
        <w:t xml:space="preserve"> prior work to (1) identify </w:t>
      </w:r>
      <w:r w:rsidR="00CE3237">
        <w:t>significant</w:t>
      </w:r>
      <w:r>
        <w:t xml:space="preserve"> aspects of </w:t>
      </w:r>
      <w:r w:rsidR="008D006D">
        <w:t xml:space="preserve">PSN </w:t>
      </w:r>
      <w:r>
        <w:t xml:space="preserve">governance and (2) identify patterns of </w:t>
      </w:r>
      <w:r w:rsidR="008D006D">
        <w:t xml:space="preserve">PSN </w:t>
      </w:r>
      <w:r>
        <w:t xml:space="preserve">performance relative to </w:t>
      </w:r>
      <w:r w:rsidR="008D006D">
        <w:t xml:space="preserve">their </w:t>
      </w:r>
      <w:r>
        <w:t>governance activities</w:t>
      </w:r>
      <w:r w:rsidR="008D006D">
        <w:t xml:space="preserve"> and structures</w:t>
      </w:r>
      <w:r>
        <w:t>.</w:t>
      </w:r>
      <w:r w:rsidR="008D006D">
        <w:t xml:space="preserve"> We focus here on governance because of its hypothesized importance to performance. </w:t>
      </w:r>
      <w:r w:rsidR="00443006">
        <w:t xml:space="preserve">Governance </w:t>
      </w:r>
      <w:r w:rsidR="008D006D">
        <w:t xml:space="preserve">encompasses </w:t>
      </w:r>
      <w:r w:rsidR="00443006">
        <w:t xml:space="preserve">the </w:t>
      </w:r>
      <w:r w:rsidR="00520FCD">
        <w:t>creation and oversight of policies and processes within an organization, and may encompass organizational, resource (e.g., financing), technology and other significant decisions</w:t>
      </w:r>
      <w:r w:rsidR="00B005DE">
        <w:t xml:space="preserve"> (Markus and Bui, 2011)</w:t>
      </w:r>
      <w:r w:rsidR="00520FCD">
        <w:t>. In the public sector, governance also must address political mandates and input from a variety of external stakeholders such as citizens or other government levels. Specific to this study</w:t>
      </w:r>
      <w:r w:rsidR="00A054E1" w:rsidRPr="00A054E1">
        <w:t xml:space="preserve">, the research question to be addressed is: </w:t>
      </w:r>
      <w:r w:rsidR="000D0569" w:rsidRPr="00A054E1">
        <w:rPr>
          <w:i/>
        </w:rPr>
        <w:t>Are there patterns of governance arrangements in PSNs that impact performance?</w:t>
      </w:r>
      <w:r w:rsidR="00A054E1" w:rsidRPr="00A054E1">
        <w:t xml:space="preserve"> </w:t>
      </w:r>
      <w:r w:rsidR="00CE3237">
        <w:t xml:space="preserve">Use of </w:t>
      </w:r>
      <w:proofErr w:type="spellStart"/>
      <w:r w:rsidR="00CE3237">
        <w:t>Ragin’s</w:t>
      </w:r>
      <w:proofErr w:type="spellEnd"/>
      <w:r w:rsidR="00A054E1" w:rsidRPr="00A054E1">
        <w:t xml:space="preserve"> </w:t>
      </w:r>
      <w:proofErr w:type="spellStart"/>
      <w:r w:rsidR="00A054E1" w:rsidRPr="00A054E1">
        <w:t>fsQCA</w:t>
      </w:r>
      <w:proofErr w:type="spellEnd"/>
      <w:r w:rsidR="00A054E1" w:rsidRPr="00A054E1">
        <w:t xml:space="preserve"> technique will allow us to also determine what the patterns are, how they vary, how they are alike, and what may explain them.</w:t>
      </w:r>
    </w:p>
    <w:p w:rsidR="008F5B81" w:rsidRPr="00A054E1" w:rsidRDefault="008F5B81" w:rsidP="008D5D7C">
      <w:pPr>
        <w:spacing w:after="0" w:line="240" w:lineRule="auto"/>
        <w:rPr>
          <w:rFonts w:eastAsia="Times New Roman" w:cs="Times New Roman"/>
          <w:u w:val="single"/>
        </w:rPr>
      </w:pPr>
      <w:r w:rsidRPr="00A054E1">
        <w:rPr>
          <w:rFonts w:eastAsia="Times New Roman" w:cs="Times New Roman"/>
          <w:u w:val="single"/>
        </w:rPr>
        <w:lastRenderedPageBreak/>
        <w:t>Background</w:t>
      </w:r>
    </w:p>
    <w:p w:rsidR="008F5B81" w:rsidRPr="00A054E1" w:rsidRDefault="008F5B81" w:rsidP="008D5D7C">
      <w:pPr>
        <w:spacing w:after="0" w:line="240" w:lineRule="auto"/>
        <w:rPr>
          <w:rFonts w:eastAsia="Times New Roman" w:cs="Times New Roman"/>
        </w:rPr>
      </w:pPr>
    </w:p>
    <w:p w:rsidR="00000000" w:rsidRDefault="00B47002">
      <w:pPr>
        <w:spacing w:after="0" w:line="240" w:lineRule="auto"/>
        <w:rPr>
          <w:rFonts w:eastAsia="Times New Roman" w:cs="Times New Roman"/>
        </w:rPr>
      </w:pPr>
      <w:r>
        <w:rPr>
          <w:rFonts w:eastAsia="Times New Roman" w:cs="Times New Roman"/>
        </w:rPr>
        <w:t xml:space="preserve">Historically, </w:t>
      </w:r>
      <w:r w:rsidR="009F44F1">
        <w:rPr>
          <w:rFonts w:eastAsia="Times New Roman" w:cs="Times New Roman"/>
        </w:rPr>
        <w:t>decisions about the structure and mission of</w:t>
      </w:r>
      <w:r w:rsidR="00CE3237">
        <w:rPr>
          <w:rFonts w:eastAsia="Times New Roman" w:cs="Times New Roman"/>
        </w:rPr>
        <w:t xml:space="preserve"> </w:t>
      </w:r>
      <w:r>
        <w:rPr>
          <w:rFonts w:eastAsia="Times New Roman" w:cs="Times New Roman"/>
        </w:rPr>
        <w:t>p</w:t>
      </w:r>
      <w:r w:rsidR="008D5D7C" w:rsidRPr="008D5D7C">
        <w:rPr>
          <w:rFonts w:eastAsia="Times New Roman" w:cs="Times New Roman"/>
        </w:rPr>
        <w:t xml:space="preserve">ublic safety organizations </w:t>
      </w:r>
      <w:r w:rsidR="009F44F1">
        <w:rPr>
          <w:rFonts w:eastAsia="Times New Roman" w:cs="Times New Roman"/>
        </w:rPr>
        <w:t>have</w:t>
      </w:r>
      <w:r w:rsidR="009F44F1" w:rsidRPr="008D5D7C">
        <w:rPr>
          <w:rFonts w:eastAsia="Times New Roman" w:cs="Times New Roman"/>
        </w:rPr>
        <w:t xml:space="preserve"> </w:t>
      </w:r>
      <w:r w:rsidR="008D5D7C" w:rsidRPr="008D5D7C">
        <w:rPr>
          <w:rFonts w:eastAsia="Times New Roman" w:cs="Times New Roman"/>
        </w:rPr>
        <w:t>limited their ability to communicate and share information with other agencies</w:t>
      </w:r>
      <w:r w:rsidR="009F44F1">
        <w:rPr>
          <w:rFonts w:eastAsia="Times New Roman" w:cs="Times New Roman"/>
        </w:rPr>
        <w:t>. This inability</w:t>
      </w:r>
      <w:r w:rsidR="00B10420">
        <w:rPr>
          <w:rFonts w:eastAsia="Times New Roman" w:cs="Times New Roman"/>
        </w:rPr>
        <w:t xml:space="preserve"> continues</w:t>
      </w:r>
      <w:r w:rsidR="008D5D7C" w:rsidRPr="008D5D7C">
        <w:rPr>
          <w:rFonts w:eastAsia="Times New Roman" w:cs="Times New Roman"/>
        </w:rPr>
        <w:t xml:space="preserve"> even though the</w:t>
      </w:r>
      <w:r w:rsidR="00B10420">
        <w:rPr>
          <w:rFonts w:eastAsia="Times New Roman" w:cs="Times New Roman"/>
        </w:rPr>
        <w:t>se agencies</w:t>
      </w:r>
      <w:r w:rsidR="008D5D7C" w:rsidRPr="008D5D7C">
        <w:rPr>
          <w:rFonts w:eastAsia="Times New Roman" w:cs="Times New Roman"/>
        </w:rPr>
        <w:t xml:space="preserve"> have the </w:t>
      </w:r>
      <w:r w:rsidR="00B10420">
        <w:rPr>
          <w:rFonts w:eastAsia="Times New Roman" w:cs="Times New Roman"/>
        </w:rPr>
        <w:t xml:space="preserve">information and communications </w:t>
      </w:r>
      <w:r w:rsidR="008D5D7C" w:rsidRPr="008D5D7C">
        <w:rPr>
          <w:rFonts w:eastAsia="Times New Roman" w:cs="Times New Roman"/>
        </w:rPr>
        <w:t>technolog</w:t>
      </w:r>
      <w:r w:rsidR="00B10420">
        <w:rPr>
          <w:rFonts w:eastAsia="Times New Roman" w:cs="Times New Roman"/>
        </w:rPr>
        <w:t>ies</w:t>
      </w:r>
      <w:r w:rsidR="001623AF">
        <w:rPr>
          <w:rFonts w:eastAsia="Times New Roman" w:cs="Times New Roman"/>
        </w:rPr>
        <w:t xml:space="preserve"> (ICT)</w:t>
      </w:r>
      <w:r w:rsidR="008D5D7C" w:rsidRPr="008D5D7C">
        <w:rPr>
          <w:rFonts w:eastAsia="Times New Roman" w:cs="Times New Roman"/>
        </w:rPr>
        <w:t xml:space="preserve"> in place to </w:t>
      </w:r>
      <w:r w:rsidR="00B10420">
        <w:rPr>
          <w:rFonts w:eastAsia="Times New Roman" w:cs="Times New Roman"/>
        </w:rPr>
        <w:t>support sharing and interoperability</w:t>
      </w:r>
      <w:r w:rsidR="008D5D7C" w:rsidRPr="008D5D7C">
        <w:rPr>
          <w:rFonts w:eastAsia="Times New Roman" w:cs="Times New Roman"/>
        </w:rPr>
        <w:t xml:space="preserve">. The goal of </w:t>
      </w:r>
      <w:r w:rsidR="008D5D7C" w:rsidRPr="00A054E1">
        <w:rPr>
          <w:rFonts w:eastAsia="Times New Roman" w:cs="Times New Roman"/>
        </w:rPr>
        <w:t>the project</w:t>
      </w:r>
      <w:r w:rsidR="008D5D7C" w:rsidRPr="008D5D7C">
        <w:rPr>
          <w:rFonts w:eastAsia="Times New Roman" w:cs="Times New Roman"/>
        </w:rPr>
        <w:t xml:space="preserve"> </w:t>
      </w:r>
      <w:r w:rsidR="00B10420">
        <w:rPr>
          <w:rFonts w:eastAsia="Times New Roman" w:cs="Times New Roman"/>
        </w:rPr>
        <w:t xml:space="preserve">from which this study derives </w:t>
      </w:r>
      <w:r w:rsidR="008D5D7C" w:rsidRPr="008D5D7C">
        <w:rPr>
          <w:rFonts w:eastAsia="Times New Roman" w:cs="Times New Roman"/>
        </w:rPr>
        <w:t xml:space="preserve">is to help </w:t>
      </w:r>
      <w:r w:rsidR="00B10420">
        <w:rPr>
          <w:rFonts w:eastAsia="Times New Roman" w:cs="Times New Roman"/>
        </w:rPr>
        <w:t xml:space="preserve">these </w:t>
      </w:r>
      <w:r w:rsidR="008D5D7C" w:rsidRPr="008D5D7C">
        <w:rPr>
          <w:rFonts w:eastAsia="Times New Roman" w:cs="Times New Roman"/>
        </w:rPr>
        <w:t xml:space="preserve">agencies realize the value of joining together to design, develop and deploy information and communications technologies to support policing, criminal justice, public safety and homeland security. </w:t>
      </w:r>
    </w:p>
    <w:p w:rsidR="00060E30" w:rsidRDefault="008D5D7C" w:rsidP="008D5D7C">
      <w:pPr>
        <w:spacing w:before="100" w:beforeAutospacing="1" w:after="100" w:afterAutospacing="1" w:line="240" w:lineRule="auto"/>
        <w:rPr>
          <w:rFonts w:eastAsia="Times New Roman" w:cs="Times New Roman"/>
        </w:rPr>
      </w:pPr>
      <w:r w:rsidRPr="008D5D7C">
        <w:rPr>
          <w:rFonts w:eastAsia="Times New Roman" w:cs="Times New Roman"/>
        </w:rPr>
        <w:t xml:space="preserve">Our theoretical contributions to date include the identification of </w:t>
      </w:r>
      <w:r w:rsidR="008D006D">
        <w:rPr>
          <w:rFonts w:eastAsia="Times New Roman" w:cs="Times New Roman"/>
        </w:rPr>
        <w:t>two</w:t>
      </w:r>
      <w:r w:rsidR="008D006D" w:rsidRPr="008D5D7C">
        <w:rPr>
          <w:rFonts w:eastAsia="Times New Roman" w:cs="Times New Roman"/>
        </w:rPr>
        <w:t xml:space="preserve"> </w:t>
      </w:r>
      <w:r w:rsidRPr="008D5D7C">
        <w:rPr>
          <w:rFonts w:eastAsia="Times New Roman" w:cs="Times New Roman"/>
        </w:rPr>
        <w:t xml:space="preserve">major forms of </w:t>
      </w:r>
      <w:r w:rsidR="00B47002">
        <w:rPr>
          <w:rFonts w:eastAsia="Times New Roman" w:cs="Times New Roman"/>
        </w:rPr>
        <w:t>PSNs</w:t>
      </w:r>
      <w:r w:rsidR="008D006D">
        <w:rPr>
          <w:rFonts w:eastAsia="Times New Roman" w:cs="Times New Roman"/>
        </w:rPr>
        <w:t xml:space="preserve"> (police-oriented and courts-oriented) (Sawyer, et al, 2013)</w:t>
      </w:r>
      <w:r w:rsidR="00B47002">
        <w:rPr>
          <w:rFonts w:eastAsia="Times New Roman" w:cs="Times New Roman"/>
        </w:rPr>
        <w:t xml:space="preserve">, as well as </w:t>
      </w:r>
      <w:r w:rsidRPr="008D5D7C">
        <w:rPr>
          <w:rFonts w:eastAsia="Times New Roman" w:cs="Times New Roman"/>
        </w:rPr>
        <w:t>contrasting theoretical explanations regarding design decisions for both collaboration infrastructure and governance</w:t>
      </w:r>
      <w:r w:rsidR="004B1693">
        <w:rPr>
          <w:rFonts w:eastAsia="Times New Roman" w:cs="Times New Roman"/>
        </w:rPr>
        <w:t xml:space="preserve"> (</w:t>
      </w:r>
      <w:r w:rsidR="00540531">
        <w:rPr>
          <w:rFonts w:eastAsia="Times New Roman" w:cs="Times New Roman"/>
        </w:rPr>
        <w:t xml:space="preserve">Fedorowicz et al, 2007; </w:t>
      </w:r>
      <w:r w:rsidR="004B1693">
        <w:rPr>
          <w:rFonts w:eastAsia="Times New Roman" w:cs="Times New Roman"/>
        </w:rPr>
        <w:t>Fedorowicz et al. 2014)</w:t>
      </w:r>
      <w:r w:rsidRPr="008D5D7C">
        <w:rPr>
          <w:rFonts w:eastAsia="Times New Roman" w:cs="Times New Roman"/>
        </w:rPr>
        <w:t>, focusing on institutional and rational choice theories</w:t>
      </w:r>
      <w:r w:rsidR="004B1693">
        <w:rPr>
          <w:rFonts w:eastAsia="Times New Roman" w:cs="Times New Roman"/>
        </w:rPr>
        <w:t xml:space="preserve"> (Williams et al., 2009; Williams and Fedorowicz, 2011)</w:t>
      </w:r>
      <w:r w:rsidRPr="008D5D7C">
        <w:rPr>
          <w:rFonts w:eastAsia="Times New Roman" w:cs="Times New Roman"/>
        </w:rPr>
        <w:t>.</w:t>
      </w:r>
      <w:r w:rsidRPr="00A054E1">
        <w:rPr>
          <w:rFonts w:eastAsia="Times New Roman" w:cs="Times New Roman"/>
        </w:rPr>
        <w:t xml:space="preserve"> </w:t>
      </w:r>
    </w:p>
    <w:p w:rsidR="008D5D7C" w:rsidRPr="008D5D7C" w:rsidRDefault="008D5D7C" w:rsidP="008D5D7C">
      <w:pPr>
        <w:spacing w:before="100" w:beforeAutospacing="1" w:after="100" w:afterAutospacing="1" w:line="240" w:lineRule="auto"/>
        <w:rPr>
          <w:rFonts w:eastAsia="Times New Roman" w:cs="Times New Roman"/>
        </w:rPr>
      </w:pPr>
      <w:r w:rsidRPr="00A054E1">
        <w:rPr>
          <w:rFonts w:eastAsia="Times New Roman" w:cs="Times New Roman"/>
        </w:rPr>
        <w:t xml:space="preserve">We have also contributed </w:t>
      </w:r>
      <w:r w:rsidR="008F5B81" w:rsidRPr="00A054E1">
        <w:rPr>
          <w:rFonts w:eastAsia="Times New Roman" w:cs="Times New Roman"/>
        </w:rPr>
        <w:t xml:space="preserve">to extant knowledge on </w:t>
      </w:r>
      <w:r w:rsidR="00CE3237">
        <w:rPr>
          <w:rFonts w:eastAsia="Times New Roman" w:cs="Times New Roman"/>
        </w:rPr>
        <w:t xml:space="preserve">a range of related topics, such as </w:t>
      </w:r>
      <w:r w:rsidR="008F5B81" w:rsidRPr="00A054E1">
        <w:rPr>
          <w:rFonts w:eastAsia="Times New Roman" w:cs="Times New Roman"/>
        </w:rPr>
        <w:t>the applicability and use of complex adaptive systems theory to study system implementation</w:t>
      </w:r>
      <w:r w:rsidR="004B1693">
        <w:rPr>
          <w:rFonts w:eastAsia="Times New Roman" w:cs="Times New Roman"/>
        </w:rPr>
        <w:t xml:space="preserve"> (Tomasino, 2013; Tomasino et al., 2013)</w:t>
      </w:r>
      <w:r w:rsidR="008F5B81" w:rsidRPr="00A054E1">
        <w:rPr>
          <w:rFonts w:eastAsia="Times New Roman" w:cs="Times New Roman"/>
        </w:rPr>
        <w:t>, and extend</w:t>
      </w:r>
      <w:r w:rsidR="00CE3237">
        <w:rPr>
          <w:rFonts w:eastAsia="Times New Roman" w:cs="Times New Roman"/>
        </w:rPr>
        <w:t>ing</w:t>
      </w:r>
      <w:r w:rsidR="008F5B81" w:rsidRPr="00A054E1">
        <w:rPr>
          <w:rFonts w:eastAsia="Times New Roman" w:cs="Times New Roman"/>
        </w:rPr>
        <w:t xml:space="preserve"> a common shared service framework to include the role of </w:t>
      </w:r>
      <w:r w:rsidR="000D0569" w:rsidRPr="00A054E1">
        <w:rPr>
          <w:rFonts w:eastAsia="Times New Roman" w:cs="Times New Roman"/>
        </w:rPr>
        <w:t xml:space="preserve">public </w:t>
      </w:r>
      <w:r w:rsidR="008F5B81" w:rsidRPr="00A054E1">
        <w:rPr>
          <w:rFonts w:eastAsia="Times New Roman" w:cs="Times New Roman"/>
        </w:rPr>
        <w:t>policy in public sector shared service implementations</w:t>
      </w:r>
      <w:r w:rsidR="004B1693">
        <w:rPr>
          <w:rFonts w:eastAsia="Times New Roman" w:cs="Times New Roman"/>
        </w:rPr>
        <w:t xml:space="preserve"> (Tomasino et al, under review</w:t>
      </w:r>
      <w:r w:rsidR="00B47002">
        <w:rPr>
          <w:rFonts w:eastAsia="Times New Roman" w:cs="Times New Roman"/>
        </w:rPr>
        <w:t xml:space="preserve">; </w:t>
      </w:r>
      <w:proofErr w:type="spellStart"/>
      <w:r w:rsidR="00B47002">
        <w:rPr>
          <w:rFonts w:eastAsia="Times New Roman" w:cs="Times New Roman"/>
        </w:rPr>
        <w:t>Tomasino</w:t>
      </w:r>
      <w:proofErr w:type="spellEnd"/>
      <w:r w:rsidR="00B47002">
        <w:rPr>
          <w:rFonts w:eastAsia="Times New Roman" w:cs="Times New Roman"/>
        </w:rPr>
        <w:t xml:space="preserve"> et al, forthcoming</w:t>
      </w:r>
      <w:r w:rsidR="004B1693">
        <w:rPr>
          <w:rFonts w:eastAsia="Times New Roman" w:cs="Times New Roman"/>
        </w:rPr>
        <w:t>)</w:t>
      </w:r>
      <w:r w:rsidR="008F5B81" w:rsidRPr="00A054E1">
        <w:rPr>
          <w:rFonts w:eastAsia="Times New Roman" w:cs="Times New Roman"/>
        </w:rPr>
        <w:t>.</w:t>
      </w:r>
    </w:p>
    <w:p w:rsidR="008D5D7C" w:rsidRPr="00A054E1" w:rsidRDefault="008D5D7C" w:rsidP="008D5D7C">
      <w:pPr>
        <w:spacing w:before="100" w:beforeAutospacing="1" w:after="100" w:afterAutospacing="1" w:line="240" w:lineRule="auto"/>
        <w:rPr>
          <w:rFonts w:eastAsia="Times New Roman" w:cs="Times New Roman"/>
        </w:rPr>
      </w:pPr>
      <w:r w:rsidRPr="008D5D7C">
        <w:rPr>
          <w:rFonts w:eastAsia="Times New Roman" w:cs="Times New Roman"/>
        </w:rPr>
        <w:t xml:space="preserve">On the empirical front, we have developed a state-by-state data set of </w:t>
      </w:r>
      <w:r w:rsidR="00B47002">
        <w:rPr>
          <w:rFonts w:eastAsia="Times New Roman" w:cs="Times New Roman"/>
        </w:rPr>
        <w:t>U.S. PSNs</w:t>
      </w:r>
      <w:r w:rsidR="00060E30">
        <w:rPr>
          <w:rFonts w:eastAsia="Times New Roman" w:cs="Times New Roman"/>
        </w:rPr>
        <w:t xml:space="preserve"> to support the analysis</w:t>
      </w:r>
      <w:r w:rsidRPr="008D5D7C">
        <w:rPr>
          <w:rFonts w:eastAsia="Times New Roman" w:cs="Times New Roman"/>
        </w:rPr>
        <w:t xml:space="preserve">. </w:t>
      </w:r>
      <w:r w:rsidR="00060E30">
        <w:rPr>
          <w:rFonts w:eastAsia="Times New Roman" w:cs="Times New Roman"/>
        </w:rPr>
        <w:t>This includes</w:t>
      </w:r>
      <w:r w:rsidR="008F5B81" w:rsidRPr="00A054E1">
        <w:rPr>
          <w:rFonts w:eastAsia="Times New Roman" w:cs="Times New Roman"/>
        </w:rPr>
        <w:t xml:space="preserve"> </w:t>
      </w:r>
      <w:r w:rsidR="00060E30">
        <w:rPr>
          <w:rFonts w:eastAsia="Times New Roman" w:cs="Times New Roman"/>
        </w:rPr>
        <w:t xml:space="preserve">data on </w:t>
      </w:r>
      <w:r w:rsidR="008F5B81" w:rsidRPr="00A054E1">
        <w:rPr>
          <w:rFonts w:eastAsia="Times New Roman" w:cs="Times New Roman"/>
        </w:rPr>
        <w:t>275</w:t>
      </w:r>
      <w:r w:rsidRPr="008D5D7C">
        <w:rPr>
          <w:rFonts w:eastAsia="Times New Roman" w:cs="Times New Roman"/>
        </w:rPr>
        <w:t xml:space="preserve"> </w:t>
      </w:r>
      <w:r w:rsidR="00060E30">
        <w:rPr>
          <w:rFonts w:eastAsia="Times New Roman" w:cs="Times New Roman"/>
        </w:rPr>
        <w:t xml:space="preserve">PSN </w:t>
      </w:r>
      <w:r w:rsidRPr="008D5D7C">
        <w:rPr>
          <w:rFonts w:eastAsia="Times New Roman" w:cs="Times New Roman"/>
        </w:rPr>
        <w:t>initiatives at the state and local levels</w:t>
      </w:r>
      <w:r w:rsidR="00060E30">
        <w:rPr>
          <w:rFonts w:eastAsia="Times New Roman" w:cs="Times New Roman"/>
        </w:rPr>
        <w:t xml:space="preserve"> with </w:t>
      </w:r>
      <w:r w:rsidRPr="008D5D7C">
        <w:rPr>
          <w:rFonts w:eastAsia="Times New Roman" w:cs="Times New Roman"/>
        </w:rPr>
        <w:t xml:space="preserve">detailed interview data on 80 of these. We have also gathered data on over </w:t>
      </w:r>
      <w:r w:rsidR="008F5B81" w:rsidRPr="00A054E1">
        <w:rPr>
          <w:rFonts w:eastAsia="Times New Roman" w:cs="Times New Roman"/>
        </w:rPr>
        <w:t>230</w:t>
      </w:r>
      <w:r w:rsidRPr="008D5D7C">
        <w:rPr>
          <w:rFonts w:eastAsia="Times New Roman" w:cs="Times New Roman"/>
        </w:rPr>
        <w:t xml:space="preserve"> independent variables for each of the 50 states, which include political, demographic, public safety, police/justice, and computing issues. </w:t>
      </w:r>
      <w:r w:rsidR="008F5B81" w:rsidRPr="00A054E1">
        <w:rPr>
          <w:rFonts w:eastAsia="Times New Roman" w:cs="Times New Roman"/>
        </w:rPr>
        <w:t>Finally, we conducted</w:t>
      </w:r>
      <w:r w:rsidRPr="008D5D7C">
        <w:rPr>
          <w:rFonts w:eastAsia="Times New Roman" w:cs="Times New Roman"/>
        </w:rPr>
        <w:t xml:space="preserve"> </w:t>
      </w:r>
      <w:r w:rsidR="008F5B81" w:rsidRPr="00A054E1">
        <w:rPr>
          <w:rFonts w:eastAsia="Times New Roman" w:cs="Times New Roman"/>
        </w:rPr>
        <w:t>six</w:t>
      </w:r>
      <w:r w:rsidRPr="008D5D7C">
        <w:rPr>
          <w:rFonts w:eastAsia="Times New Roman" w:cs="Times New Roman"/>
        </w:rPr>
        <w:t xml:space="preserve"> </w:t>
      </w:r>
      <w:r w:rsidR="008F5B81" w:rsidRPr="00A054E1">
        <w:rPr>
          <w:rFonts w:eastAsia="Times New Roman" w:cs="Times New Roman"/>
        </w:rPr>
        <w:t xml:space="preserve">extensive </w:t>
      </w:r>
      <w:r w:rsidRPr="008D5D7C">
        <w:rPr>
          <w:rFonts w:eastAsia="Times New Roman" w:cs="Times New Roman"/>
        </w:rPr>
        <w:t>case studies (</w:t>
      </w:r>
      <w:proofErr w:type="spellStart"/>
      <w:r w:rsidRPr="008D5D7C">
        <w:rPr>
          <w:rFonts w:eastAsia="Times New Roman" w:cs="Times New Roman"/>
        </w:rPr>
        <w:t>CapWIN</w:t>
      </w:r>
      <w:proofErr w:type="spellEnd"/>
      <w:r w:rsidRPr="008D5D7C">
        <w:rPr>
          <w:rFonts w:eastAsia="Times New Roman" w:cs="Times New Roman"/>
        </w:rPr>
        <w:t>, NLE</w:t>
      </w:r>
      <w:r w:rsidR="008F5B81" w:rsidRPr="00A054E1">
        <w:rPr>
          <w:rFonts w:eastAsia="Times New Roman" w:cs="Times New Roman"/>
        </w:rPr>
        <w:t>TS, JNET, ARJIS, Winnebago County and Clermont C</w:t>
      </w:r>
      <w:r w:rsidRPr="008D5D7C">
        <w:rPr>
          <w:rFonts w:eastAsia="Times New Roman" w:cs="Times New Roman"/>
        </w:rPr>
        <w:t>ounty)</w:t>
      </w:r>
      <w:r w:rsidR="008F5B81" w:rsidRPr="00A054E1">
        <w:rPr>
          <w:rFonts w:eastAsia="Times New Roman" w:cs="Times New Roman"/>
        </w:rPr>
        <w:t xml:space="preserve"> to gather detailed information about a variety of PSNs</w:t>
      </w:r>
      <w:r w:rsidRPr="008D5D7C">
        <w:rPr>
          <w:rFonts w:eastAsia="Times New Roman" w:cs="Times New Roman"/>
        </w:rPr>
        <w:t xml:space="preserve">. </w:t>
      </w:r>
    </w:p>
    <w:p w:rsidR="000D0569" w:rsidRPr="00D91D6B" w:rsidRDefault="00D91D6B" w:rsidP="008D5D7C">
      <w:pPr>
        <w:spacing w:before="100" w:beforeAutospacing="1" w:after="100" w:afterAutospacing="1" w:line="240" w:lineRule="auto"/>
        <w:rPr>
          <w:rFonts w:eastAsia="Times New Roman" w:cs="Times New Roman"/>
          <w:u w:val="single"/>
        </w:rPr>
      </w:pPr>
      <w:r w:rsidRPr="00D91D6B">
        <w:rPr>
          <w:rFonts w:eastAsia="Times New Roman" w:cs="Times New Roman"/>
          <w:u w:val="single"/>
        </w:rPr>
        <w:t>Method</w:t>
      </w:r>
      <w:r w:rsidR="00B47002">
        <w:rPr>
          <w:rStyle w:val="FootnoteReference"/>
          <w:rFonts w:eastAsia="Times New Roman" w:cs="Times New Roman"/>
          <w:u w:val="single"/>
        </w:rPr>
        <w:footnoteReference w:id="2"/>
      </w:r>
      <w:r>
        <w:rPr>
          <w:rFonts w:eastAsia="Times New Roman" w:cs="Times New Roman"/>
          <w:u w:val="single"/>
        </w:rPr>
        <w:t xml:space="preserve"> </w:t>
      </w:r>
    </w:p>
    <w:p w:rsidR="00D91D6B" w:rsidRPr="00D91D6B" w:rsidRDefault="00D91D6B" w:rsidP="00D4356F">
      <w:pPr>
        <w:spacing w:line="240" w:lineRule="auto"/>
      </w:pPr>
      <w:proofErr w:type="gramStart"/>
      <w:r w:rsidRPr="00D91D6B">
        <w:t xml:space="preserve">The </w:t>
      </w:r>
      <w:r w:rsidR="00596282">
        <w:t xml:space="preserve"> cases</w:t>
      </w:r>
      <w:proofErr w:type="gramEnd"/>
      <w:r w:rsidR="00596282">
        <w:t xml:space="preserve"> u</w:t>
      </w:r>
      <w:r w:rsidR="00060E30">
        <w:t>sed for this analysis are drawn from the larger</w:t>
      </w:r>
      <w:r w:rsidRPr="00D91D6B">
        <w:t xml:space="preserve"> data set </w:t>
      </w:r>
      <w:r w:rsidR="00D45639">
        <w:t>of the</w:t>
      </w:r>
      <w:r w:rsidRPr="00D91D6B">
        <w:t xml:space="preserve"> 275 </w:t>
      </w:r>
      <w:r w:rsidR="00CE3237" w:rsidRPr="00D91D6B">
        <w:t xml:space="preserve">PSNs </w:t>
      </w:r>
      <w:r w:rsidR="00CE3237">
        <w:t>found</w:t>
      </w:r>
      <w:r w:rsidR="00060E30">
        <w:t xml:space="preserve"> </w:t>
      </w:r>
      <w:r w:rsidRPr="00D91D6B">
        <w:t xml:space="preserve">at the state and local levels of government </w:t>
      </w:r>
      <w:r w:rsidR="00D45639">
        <w:t>(Williams et al., 2009)</w:t>
      </w:r>
      <w:r w:rsidRPr="00D91D6B">
        <w:t xml:space="preserve">. </w:t>
      </w:r>
      <w:r w:rsidR="00596282">
        <w:t xml:space="preserve">The primary data for </w:t>
      </w:r>
      <w:proofErr w:type="gramStart"/>
      <w:r w:rsidR="00596282">
        <w:t>these  cases</w:t>
      </w:r>
      <w:proofErr w:type="gramEnd"/>
      <w:r w:rsidR="00596282">
        <w:t xml:space="preserve"> were gathered</w:t>
      </w:r>
      <w:r w:rsidRPr="00D91D6B">
        <w:t xml:space="preserve"> by a trained interviewer employed by </w:t>
      </w:r>
      <w:r w:rsidR="001623AF" w:rsidRPr="00D91D6B">
        <w:t xml:space="preserve">Penn State University’s </w:t>
      </w:r>
      <w:r w:rsidRPr="00D91D6B">
        <w:t xml:space="preserve">computer-assisted telephone interview (CATI) center to secure their voluntary participation. The interview protocol and instrument were designed and piloted in consort with </w:t>
      </w:r>
      <w:r w:rsidR="001623AF">
        <w:t xml:space="preserve">the </w:t>
      </w:r>
      <w:r w:rsidRPr="00D91D6B">
        <w:t xml:space="preserve">CATI center. Respondents took approximately 45 minutes to complete the protocol.  </w:t>
      </w:r>
    </w:p>
    <w:p w:rsidR="00D91D6B" w:rsidRPr="00D91D6B" w:rsidRDefault="00D91D6B" w:rsidP="00D4356F">
      <w:pPr>
        <w:spacing w:line="240" w:lineRule="auto"/>
      </w:pPr>
      <w:r w:rsidRPr="00D91D6B">
        <w:t>The survey gather</w:t>
      </w:r>
      <w:r w:rsidR="00D45639">
        <w:t>ed</w:t>
      </w:r>
      <w:r w:rsidRPr="00D91D6B">
        <w:t xml:space="preserve"> data </w:t>
      </w:r>
      <w:r w:rsidR="00D45639">
        <w:t>in response to</w:t>
      </w:r>
      <w:r w:rsidRPr="00D91D6B">
        <w:t xml:space="preserve"> over 90 questions (some containing lengthy selection lists) about the PSN’s origin (seven questions), purpose (five questions), membership (five questions), usage (10 questions), development (five questions), technology components (18 questions), governance (six questions), performance measures (seven questions), and goals (10 questions).  Given the analysis pursued, question responses were focused on categorical responses (</w:t>
      </w:r>
      <w:r w:rsidR="001623AF">
        <w:t xml:space="preserve">options, </w:t>
      </w:r>
      <w:r w:rsidR="00CE3237">
        <w:t xml:space="preserve">scales, or </w:t>
      </w:r>
      <w:r w:rsidRPr="00D91D6B">
        <w:t>often simply yes or no), with opportunities for open-ended comments.</w:t>
      </w:r>
    </w:p>
    <w:p w:rsidR="00D91D6B" w:rsidRPr="00D91D6B" w:rsidRDefault="00D91D6B" w:rsidP="00D4356F">
      <w:pPr>
        <w:spacing w:line="240" w:lineRule="auto"/>
      </w:pPr>
      <w:r w:rsidRPr="00D91D6B">
        <w:lastRenderedPageBreak/>
        <w:t xml:space="preserve">A careful review of the quality and completeness of the survey responses found 61 of the 80 </w:t>
      </w:r>
      <w:r w:rsidR="00D45639">
        <w:t xml:space="preserve">valid </w:t>
      </w:r>
      <w:r w:rsidRPr="00D91D6B">
        <w:t xml:space="preserve">cases had </w:t>
      </w:r>
      <w:r w:rsidR="00B8200C">
        <w:t>provided</w:t>
      </w:r>
      <w:r w:rsidRPr="00D91D6B">
        <w:t xml:space="preserve"> responses to the questions used in this analysis. </w:t>
      </w:r>
      <w:r w:rsidR="00A429F9">
        <w:t xml:space="preserve">These PSNs were selected because we had been able to gather additional primary data needed for the analysis of governance and performance. </w:t>
      </w:r>
      <w:r w:rsidRPr="00D91D6B">
        <w:t>Data from the 61 cases were first aggregated into the factor</w:t>
      </w:r>
      <w:r w:rsidR="00B8200C">
        <w:t xml:space="preserve"> </w:t>
      </w:r>
      <w:r w:rsidRPr="00D91D6B">
        <w:t>s</w:t>
      </w:r>
      <w:r w:rsidR="00B8200C">
        <w:t>ets</w:t>
      </w:r>
      <w:r w:rsidRPr="00D91D6B">
        <w:t xml:space="preserve"> described in more detail below.  These factors were then subjected to </w:t>
      </w:r>
      <w:proofErr w:type="spellStart"/>
      <w:r w:rsidRPr="00D91D6B">
        <w:t>fsQCA</w:t>
      </w:r>
      <w:proofErr w:type="spellEnd"/>
      <w:r w:rsidRPr="00D91D6B">
        <w:t xml:space="preserve"> analysis to detect whether any identifiable </w:t>
      </w:r>
      <w:r w:rsidR="001623AF">
        <w:t>configurations</w:t>
      </w:r>
      <w:r w:rsidR="001623AF" w:rsidRPr="00D91D6B">
        <w:t xml:space="preserve"> </w:t>
      </w:r>
      <w:r w:rsidRPr="00D91D6B">
        <w:t xml:space="preserve">of PSNs could be identified. </w:t>
      </w:r>
    </w:p>
    <w:p w:rsidR="00D4356F" w:rsidRPr="00D91D6B" w:rsidRDefault="00D91D6B" w:rsidP="00D4356F">
      <w:pPr>
        <w:spacing w:before="100" w:beforeAutospacing="1" w:after="100" w:afterAutospacing="1" w:line="240" w:lineRule="auto"/>
        <w:rPr>
          <w:rFonts w:eastAsia="Times New Roman" w:cs="Times New Roman"/>
          <w:u w:val="single"/>
        </w:rPr>
      </w:pPr>
      <w:r w:rsidRPr="00D91D6B">
        <w:rPr>
          <w:u w:val="single"/>
        </w:rPr>
        <w:t>Fuzzy-Set Qualitative Comparative Analysis</w:t>
      </w:r>
      <w:r w:rsidR="00D4356F">
        <w:rPr>
          <w:rFonts w:eastAsia="Times New Roman" w:cs="Times New Roman"/>
          <w:u w:val="single"/>
        </w:rPr>
        <w:t xml:space="preserve"> </w:t>
      </w:r>
    </w:p>
    <w:p w:rsidR="00D91D6B" w:rsidRPr="00D91D6B" w:rsidRDefault="00D91D6B" w:rsidP="00D4356F">
      <w:pPr>
        <w:spacing w:line="240" w:lineRule="auto"/>
      </w:pPr>
      <w:r w:rsidRPr="00D91D6B">
        <w:t xml:space="preserve">For the analysis </w:t>
      </w:r>
      <w:r w:rsidR="00D4356F">
        <w:t>reported</w:t>
      </w:r>
      <w:r w:rsidR="00596282">
        <w:t xml:space="preserve"> here we treat</w:t>
      </w:r>
      <w:r w:rsidRPr="00D91D6B">
        <w:t xml:space="preserve"> each PSN </w:t>
      </w:r>
      <w:r w:rsidR="00596282">
        <w:t>as</w:t>
      </w:r>
      <w:r w:rsidRPr="00D91D6B">
        <w:t xml:space="preserve"> a case and the variables used in the analysis are composite measures of </w:t>
      </w:r>
      <w:r w:rsidR="00D45639">
        <w:t xml:space="preserve">technology architecture, </w:t>
      </w:r>
      <w:r w:rsidRPr="00D91D6B">
        <w:t xml:space="preserve">governance and performance.  Analysis relies on qualitative comparative analysis, a method designed specifically for understanding case-based social science research (see </w:t>
      </w:r>
      <w:proofErr w:type="spellStart"/>
      <w:r w:rsidR="00D45639">
        <w:t>Ragin</w:t>
      </w:r>
      <w:proofErr w:type="spellEnd"/>
      <w:r w:rsidR="00D45639">
        <w:t xml:space="preserve">, 2008 and </w:t>
      </w:r>
      <w:hyperlink r:id="rId8" w:history="1">
        <w:r w:rsidR="00D45639" w:rsidRPr="00735B1F">
          <w:rPr>
            <w:rStyle w:val="Hyperlink"/>
          </w:rPr>
          <w:t>www.fsqca.com</w:t>
        </w:r>
      </w:hyperlink>
      <w:r w:rsidR="00D45639">
        <w:t xml:space="preserve"> )</w:t>
      </w:r>
      <w:r w:rsidRPr="00D91D6B">
        <w:t xml:space="preserve">. </w:t>
      </w:r>
    </w:p>
    <w:p w:rsidR="00D91D6B" w:rsidRPr="00D91D6B" w:rsidRDefault="00D91D6B" w:rsidP="00D4356F">
      <w:pPr>
        <w:spacing w:line="240" w:lineRule="auto"/>
      </w:pPr>
      <w:r w:rsidRPr="00D91D6B">
        <w:t xml:space="preserve">The basis of QCA is set theory and Boolean logic.  The set theoretic basis means variables are characterized as belonging to sets which may or may not have commonality. </w:t>
      </w:r>
      <w:r w:rsidR="00292174">
        <w:t>T</w:t>
      </w:r>
      <w:r w:rsidRPr="00D91D6B">
        <w:t>he first step of QCA analysis is to assess each case’s membership in the particular sets the analyst seeks to understand – the components of PSN governance and performance.  As noted above, set-theoretic approaches like QCA are premised on interdependence among variables.  To assess relationships while preserving variable interdependence, QCA employs Boolean logic.  In this way, QCA provides mechanisms not possible with either the more common multiple correlation approaches or the set-theoretic approaches common to most case-based research.</w:t>
      </w:r>
    </w:p>
    <w:p w:rsidR="00D91D6B" w:rsidRDefault="00D91D6B" w:rsidP="00D4356F">
      <w:pPr>
        <w:spacing w:line="240" w:lineRule="auto"/>
      </w:pPr>
      <w:r w:rsidRPr="00D91D6B">
        <w:t xml:space="preserve">Developing QCA analysis requires strong conceptual grounding at three different points in the analysis in order to develop and interpret the findings:  (1) forming the variables to be studied, (2) calibrating set membership for each case and its variables, and (3) identifying possible configurations among set relationships.  Strong conceptual grounding is made even more necessary if partial membership of cases is permitted based on fuzzy set (fs) membership criteria for QCA. That is, </w:t>
      </w:r>
      <w:proofErr w:type="spellStart"/>
      <w:r w:rsidRPr="00D91D6B">
        <w:t>fsQCA</w:t>
      </w:r>
      <w:proofErr w:type="spellEnd"/>
      <w:r w:rsidRPr="00D91D6B">
        <w:t xml:space="preserve"> analysis extends set-theoretic analysis by allowing for partial membership (making a set’s boundaries fuzzy) with assessing the particular arrangements of a PSN’s </w:t>
      </w:r>
      <w:r w:rsidR="00D4356F">
        <w:t>governance</w:t>
      </w:r>
      <w:r w:rsidRPr="00D91D6B">
        <w:t xml:space="preserve"> components relative to membership in the set of high performing PSNs. </w:t>
      </w:r>
    </w:p>
    <w:p w:rsidR="00D4356F" w:rsidRDefault="00D4356F" w:rsidP="00D4356F">
      <w:pPr>
        <w:spacing w:line="240" w:lineRule="auto"/>
        <w:rPr>
          <w:u w:val="single"/>
        </w:rPr>
      </w:pPr>
      <w:r>
        <w:rPr>
          <w:u w:val="single"/>
        </w:rPr>
        <w:t xml:space="preserve">Preliminary </w:t>
      </w:r>
      <w:r w:rsidRPr="00D4356F">
        <w:rPr>
          <w:u w:val="single"/>
        </w:rPr>
        <w:t>Results</w:t>
      </w:r>
    </w:p>
    <w:p w:rsidR="00D4356F" w:rsidRDefault="00D4356F" w:rsidP="00D4356F">
      <w:pPr>
        <w:spacing w:line="240" w:lineRule="auto"/>
      </w:pPr>
      <w:r w:rsidRPr="00D91D6B">
        <w:t xml:space="preserve">Given </w:t>
      </w:r>
      <w:r w:rsidR="00292174">
        <w:t>our extensive experience studying the PSN phenomenon</w:t>
      </w:r>
      <w:r w:rsidRPr="00D91D6B">
        <w:t>, we suspected there might be</w:t>
      </w:r>
      <w:r w:rsidR="00292174">
        <w:t xml:space="preserve"> </w:t>
      </w:r>
      <w:r w:rsidRPr="00D91D6B">
        <w:t>grouping</w:t>
      </w:r>
      <w:r w:rsidR="00292174">
        <w:t>s</w:t>
      </w:r>
      <w:r w:rsidRPr="00D91D6B">
        <w:t xml:space="preserve"> around </w:t>
      </w:r>
      <w:r w:rsidR="00292174">
        <w:t xml:space="preserve">their </w:t>
      </w:r>
      <w:r w:rsidR="00A429F9">
        <w:t>IOS’</w:t>
      </w:r>
      <w:r w:rsidR="00292174">
        <w:t xml:space="preserve"> </w:t>
      </w:r>
      <w:r w:rsidRPr="00D91D6B">
        <w:t>purposes and functions. Thus, initial analysis focused on identifying patterns among organizational processes and particular types of data</w:t>
      </w:r>
      <w:r w:rsidR="00540531">
        <w:t xml:space="preserve"> supplied to PSN users</w:t>
      </w:r>
      <w:r w:rsidRPr="00D91D6B">
        <w:t>.  Doing this confirmed that two distinct subsets of PSNs – court-oriented and police-oriented PSNs - were different enough as to support separate analyses</w:t>
      </w:r>
      <w:r w:rsidR="00540531">
        <w:t xml:space="preserve"> </w:t>
      </w:r>
      <w:r w:rsidR="00292174">
        <w:t>within</w:t>
      </w:r>
      <w:r w:rsidR="00540531">
        <w:t xml:space="preserve"> the technology architecture </w:t>
      </w:r>
      <w:r w:rsidR="00945F95">
        <w:t xml:space="preserve">configuration </w:t>
      </w:r>
      <w:r w:rsidR="00540531">
        <w:t xml:space="preserve">study (Sawyer et al. 2013). Because these two subsets were detected based on the </w:t>
      </w:r>
      <w:r w:rsidR="00292174">
        <w:t>intended use</w:t>
      </w:r>
      <w:r w:rsidR="00540531">
        <w:t xml:space="preserve"> and functionality of the PSNs</w:t>
      </w:r>
      <w:r w:rsidR="00292174">
        <w:t xml:space="preserve"> and not on their technology</w:t>
      </w:r>
      <w:r w:rsidR="00540531">
        <w:t>, the groupi</w:t>
      </w:r>
      <w:r w:rsidR="00292174">
        <w:t xml:space="preserve">ngs are considered to be </w:t>
      </w:r>
      <w:r w:rsidR="00B8200C">
        <w:t xml:space="preserve">sufficiently </w:t>
      </w:r>
      <w:r w:rsidR="00292174">
        <w:t>generic</w:t>
      </w:r>
      <w:r w:rsidR="00540531">
        <w:t xml:space="preserve"> to warrant separate investigation in the governance analysis.</w:t>
      </w:r>
    </w:p>
    <w:p w:rsidR="00456483" w:rsidRDefault="00456483" w:rsidP="00D4356F">
      <w:pPr>
        <w:spacing w:line="240" w:lineRule="auto"/>
      </w:pPr>
      <w:r>
        <w:t>We collected data on four</w:t>
      </w:r>
      <w:r w:rsidR="00D4356F">
        <w:t xml:space="preserve"> </w:t>
      </w:r>
      <w:r>
        <w:t xml:space="preserve">governance </w:t>
      </w:r>
      <w:r w:rsidR="00D4356F">
        <w:t>functions</w:t>
      </w:r>
      <w:r>
        <w:t xml:space="preserve"> (</w:t>
      </w:r>
      <w:r w:rsidRPr="00456483">
        <w:t>technology, resource, organizational and stakeholder</w:t>
      </w:r>
      <w:r>
        <w:t>)</w:t>
      </w:r>
      <w:r w:rsidR="00D4356F">
        <w:t>, performance of the governance function, and PSN performance metrics</w:t>
      </w:r>
      <w:r>
        <w:t xml:space="preserve">.  Technology governance encompasses </w:t>
      </w:r>
      <w:r w:rsidR="00945F95">
        <w:t xml:space="preserve">approving strategic ICT plans, prioritizing ICT projects, </w:t>
      </w:r>
      <w:r w:rsidR="00E22D68">
        <w:t>developing and monitoring architecture plans and standards compliance, identifying functional requirements, setting service level agreements, and specifying data access policies.</w:t>
      </w:r>
      <w:r>
        <w:t xml:space="preserve">  Resource governance</w:t>
      </w:r>
      <w:r w:rsidR="00E22D68">
        <w:t xml:space="preserve"> comprises budget approval, monitoring financial performance and pricing decisions. O</w:t>
      </w:r>
      <w:r>
        <w:t>rganizational governance</w:t>
      </w:r>
      <w:r w:rsidR="00E22D68">
        <w:t xml:space="preserve"> covers key staffing </w:t>
      </w:r>
      <w:r w:rsidR="00E22D68">
        <w:lastRenderedPageBreak/>
        <w:t xml:space="preserve">decisions and IT procurement. </w:t>
      </w:r>
      <w:r>
        <w:t>Stakeholder governance</w:t>
      </w:r>
      <w:r w:rsidR="00E22D68">
        <w:t xml:space="preserve"> includes PSN membership decisions and stakeholder satisfaction evaluation</w:t>
      </w:r>
      <w:r>
        <w:t xml:space="preserve">. </w:t>
      </w:r>
    </w:p>
    <w:p w:rsidR="00292174" w:rsidRDefault="00456483" w:rsidP="00D4356F">
      <w:pPr>
        <w:spacing w:line="240" w:lineRule="auto"/>
      </w:pPr>
      <w:r>
        <w:t>The results</w:t>
      </w:r>
      <w:r w:rsidR="00945F95">
        <w:t xml:space="preserve"> to be</w:t>
      </w:r>
      <w:r>
        <w:t xml:space="preserve"> share</w:t>
      </w:r>
      <w:r w:rsidR="00945F95">
        <w:t>d</w:t>
      </w:r>
      <w:r>
        <w:t xml:space="preserve"> in the presentation</w:t>
      </w:r>
      <w:r w:rsidR="00443006">
        <w:t xml:space="preserve"> </w:t>
      </w:r>
      <w:r>
        <w:t xml:space="preserve">will help us better explain </w:t>
      </w:r>
      <w:r w:rsidR="00443006">
        <w:t>the relationship</w:t>
      </w:r>
      <w:r>
        <w:t>s</w:t>
      </w:r>
      <w:r w:rsidR="00443006">
        <w:t xml:space="preserve"> </w:t>
      </w:r>
      <w:r>
        <w:t>among</w:t>
      </w:r>
      <w:r w:rsidR="00945F95">
        <w:t xml:space="preserve"> the</w:t>
      </w:r>
      <w:r>
        <w:t xml:space="preserve"> </w:t>
      </w:r>
      <w:r w:rsidR="00443006">
        <w:t>four governance functions and several measures of PSN governance effectiveness and PSN performance. The results also show the impact of governmenta</w:t>
      </w:r>
      <w:r w:rsidR="00E22D68">
        <w:t>l</w:t>
      </w:r>
      <w:r w:rsidR="00443006">
        <w:t xml:space="preserve"> mandate</w:t>
      </w:r>
      <w:r w:rsidR="00945F95">
        <w:t xml:space="preserve">s (i.e., mandated vs. elective </w:t>
      </w:r>
      <w:r w:rsidR="00E22D68">
        <w:t xml:space="preserve">PSN </w:t>
      </w:r>
      <w:r w:rsidR="00945F95">
        <w:t>initiation)</w:t>
      </w:r>
      <w:r w:rsidR="00443006">
        <w:t xml:space="preserve"> and organizational structure </w:t>
      </w:r>
      <w:r w:rsidR="00945F95">
        <w:t xml:space="preserve">(i.e., an informal group, a subunit, or a separate organization) </w:t>
      </w:r>
      <w:r w:rsidR="00443006">
        <w:t>on governance and performance.</w:t>
      </w:r>
    </w:p>
    <w:p w:rsidR="00475C3A" w:rsidRDefault="00475C3A" w:rsidP="00D4356F">
      <w:pPr>
        <w:spacing w:line="240" w:lineRule="auto"/>
      </w:pPr>
      <w:r>
        <w:t xml:space="preserve">As part of the presentation we will detail the calibration of the measures, the construction of truth tables, the </w:t>
      </w:r>
      <w:proofErr w:type="spellStart"/>
      <w:r>
        <w:t>configurational</w:t>
      </w:r>
      <w:proofErr w:type="spellEnd"/>
      <w:r>
        <w:t xml:space="preserve"> paths that arise, and </w:t>
      </w:r>
      <w:r w:rsidR="00E22D68">
        <w:t>interpretation of the resulting paths</w:t>
      </w:r>
      <w:r>
        <w:t>.</w:t>
      </w:r>
    </w:p>
    <w:p w:rsidR="00D4356F" w:rsidRPr="00D91D6B" w:rsidRDefault="00D4356F" w:rsidP="00D4356F">
      <w:pPr>
        <w:spacing w:line="240" w:lineRule="auto"/>
      </w:pPr>
      <w:bookmarkStart w:id="0" w:name="_GoBack"/>
      <w:bookmarkEnd w:id="0"/>
    </w:p>
    <w:p w:rsidR="008D5D7C" w:rsidRPr="00A054E1" w:rsidRDefault="000D0569" w:rsidP="00D4356F">
      <w:pPr>
        <w:pStyle w:val="Heading2"/>
        <w:spacing w:line="240" w:lineRule="auto"/>
        <w:jc w:val="center"/>
        <w:rPr>
          <w:rFonts w:asciiTheme="minorHAnsi" w:hAnsiTheme="minorHAnsi"/>
          <w:sz w:val="22"/>
          <w:szCs w:val="22"/>
        </w:rPr>
      </w:pPr>
      <w:r w:rsidRPr="00A054E1">
        <w:rPr>
          <w:rFonts w:asciiTheme="minorHAnsi" w:hAnsiTheme="minorHAnsi"/>
          <w:sz w:val="22"/>
          <w:szCs w:val="22"/>
        </w:rPr>
        <w:t>References</w:t>
      </w:r>
    </w:p>
    <w:p w:rsidR="000D0569" w:rsidRPr="00A054E1" w:rsidRDefault="000D0569" w:rsidP="00D4356F">
      <w:pPr>
        <w:spacing w:before="100" w:beforeAutospacing="1" w:after="100" w:afterAutospacing="1" w:line="240" w:lineRule="auto"/>
        <w:ind w:left="360"/>
        <w:rPr>
          <w:rFonts w:eastAsia="Times New Roman" w:cs="Times New Roman"/>
        </w:rPr>
      </w:pPr>
      <w:r w:rsidRPr="00A054E1">
        <w:t xml:space="preserve">Brooks, J., </w:t>
      </w:r>
      <w:proofErr w:type="spellStart"/>
      <w:r w:rsidRPr="00A054E1">
        <w:t>Bodeau</w:t>
      </w:r>
      <w:proofErr w:type="spellEnd"/>
      <w:r w:rsidRPr="00A054E1">
        <w:t>, D., &amp; Fedorowicz, J.</w:t>
      </w:r>
      <w:r w:rsidR="004B1693">
        <w:t xml:space="preserve"> (2013)</w:t>
      </w:r>
      <w:r w:rsidRPr="00A054E1">
        <w:t xml:space="preserve"> Network Management in Emergency Response: Articulation Practices of State-Level Managers – Interweaving Up, Down and Sideways. </w:t>
      </w:r>
      <w:r w:rsidRPr="00A054E1">
        <w:rPr>
          <w:i/>
          <w:iCs/>
        </w:rPr>
        <w:t>Administration &amp; Society, 45</w:t>
      </w:r>
      <w:r w:rsidRPr="00A054E1">
        <w:t xml:space="preserve">(8), 911-948. </w:t>
      </w:r>
    </w:p>
    <w:p w:rsidR="000D0569" w:rsidRPr="00A054E1" w:rsidRDefault="000D0569" w:rsidP="000D0569">
      <w:pPr>
        <w:spacing w:before="100" w:beforeAutospacing="1" w:after="100" w:afterAutospacing="1" w:line="240" w:lineRule="auto"/>
        <w:ind w:left="360"/>
        <w:rPr>
          <w:rFonts w:eastAsia="Times New Roman" w:cs="Times New Roman"/>
        </w:rPr>
      </w:pPr>
      <w:r w:rsidRPr="00A054E1">
        <w:t>Fedorowicz, J., Gogan, J.</w:t>
      </w:r>
      <w:r w:rsidR="00540531">
        <w:t xml:space="preserve"> L., &amp; Williams, C. B. (</w:t>
      </w:r>
      <w:r w:rsidRPr="00A054E1">
        <w:t xml:space="preserve">2007). A Collaborative Network for First Responders: Lessons from the </w:t>
      </w:r>
      <w:proofErr w:type="spellStart"/>
      <w:r w:rsidRPr="00A054E1">
        <w:t>CapWIN</w:t>
      </w:r>
      <w:proofErr w:type="spellEnd"/>
      <w:r w:rsidRPr="00A054E1">
        <w:t xml:space="preserve"> Case. </w:t>
      </w:r>
      <w:r w:rsidRPr="00A054E1">
        <w:rPr>
          <w:i/>
          <w:iCs/>
        </w:rPr>
        <w:t>Government Information Quarterly, 24(4)</w:t>
      </w:r>
      <w:r w:rsidRPr="00A054E1">
        <w:t>, 785-807.</w:t>
      </w:r>
    </w:p>
    <w:p w:rsidR="000D0569" w:rsidRPr="00A054E1" w:rsidRDefault="000D0569" w:rsidP="000D0569">
      <w:pPr>
        <w:spacing w:before="100" w:beforeAutospacing="1" w:after="100" w:afterAutospacing="1" w:line="240" w:lineRule="auto"/>
        <w:ind w:left="360"/>
        <w:rPr>
          <w:rFonts w:eastAsia="Times New Roman" w:cs="Times New Roman"/>
        </w:rPr>
      </w:pPr>
      <w:r w:rsidRPr="000D0569">
        <w:rPr>
          <w:rFonts w:eastAsia="Times New Roman" w:cs="Times New Roman"/>
        </w:rPr>
        <w:t xml:space="preserve">Fedorowicz, J., Sawyer, S., Williams, C., Markus, M., Dias, M., </w:t>
      </w:r>
      <w:proofErr w:type="spellStart"/>
      <w:r w:rsidRPr="000D0569">
        <w:rPr>
          <w:rFonts w:eastAsia="Times New Roman" w:cs="Times New Roman"/>
        </w:rPr>
        <w:t>Tyworth</w:t>
      </w:r>
      <w:proofErr w:type="spellEnd"/>
      <w:r w:rsidRPr="000D0569">
        <w:rPr>
          <w:rFonts w:eastAsia="Times New Roman" w:cs="Times New Roman"/>
        </w:rPr>
        <w:t xml:space="preserve">, M., Jacobson, D., </w:t>
      </w:r>
      <w:proofErr w:type="spellStart"/>
      <w:r w:rsidRPr="000D0569">
        <w:rPr>
          <w:rFonts w:eastAsia="Times New Roman" w:cs="Times New Roman"/>
        </w:rPr>
        <w:t>Gantman</w:t>
      </w:r>
      <w:proofErr w:type="spellEnd"/>
      <w:r w:rsidRPr="000D0569">
        <w:rPr>
          <w:rFonts w:eastAsia="Times New Roman" w:cs="Times New Roman"/>
        </w:rPr>
        <w:t xml:space="preserve">, S., Tomasino, A., &amp; </w:t>
      </w:r>
      <w:proofErr w:type="spellStart"/>
      <w:r w:rsidRPr="000D0569">
        <w:rPr>
          <w:rFonts w:eastAsia="Times New Roman" w:cs="Times New Roman"/>
        </w:rPr>
        <w:t>Schrier</w:t>
      </w:r>
      <w:proofErr w:type="spellEnd"/>
      <w:r w:rsidRPr="000D0569">
        <w:rPr>
          <w:rFonts w:eastAsia="Times New Roman" w:cs="Times New Roman"/>
        </w:rPr>
        <w:t>, R. (forthcoming</w:t>
      </w:r>
      <w:r w:rsidR="004B1693">
        <w:rPr>
          <w:rFonts w:eastAsia="Times New Roman" w:cs="Times New Roman"/>
        </w:rPr>
        <w:t xml:space="preserve"> 2014</w:t>
      </w:r>
      <w:r w:rsidRPr="000D0569">
        <w:rPr>
          <w:rFonts w:eastAsia="Times New Roman" w:cs="Times New Roman"/>
        </w:rPr>
        <w:t xml:space="preserve">). Design Observations for Interagency Collaboration. </w:t>
      </w:r>
      <w:r w:rsidRPr="000D0569">
        <w:rPr>
          <w:rFonts w:eastAsia="Times New Roman" w:cs="Times New Roman"/>
          <w:i/>
          <w:iCs/>
        </w:rPr>
        <w:t>Government Information Quarterly</w:t>
      </w:r>
      <w:r w:rsidR="004B1693">
        <w:rPr>
          <w:rFonts w:eastAsia="Times New Roman" w:cs="Times New Roman"/>
        </w:rPr>
        <w:t xml:space="preserve">. </w:t>
      </w:r>
    </w:p>
    <w:p w:rsidR="000D0569" w:rsidRPr="000D0569" w:rsidRDefault="000D0569" w:rsidP="000D0569">
      <w:pPr>
        <w:spacing w:before="100" w:beforeAutospacing="1" w:after="100" w:afterAutospacing="1" w:line="240" w:lineRule="auto"/>
        <w:ind w:left="360"/>
        <w:rPr>
          <w:rFonts w:eastAsia="Times New Roman" w:cs="Times New Roman"/>
        </w:rPr>
      </w:pPr>
      <w:proofErr w:type="spellStart"/>
      <w:r w:rsidRPr="000D0569">
        <w:rPr>
          <w:rFonts w:eastAsia="Times New Roman" w:cs="Times New Roman"/>
        </w:rPr>
        <w:t>Gantman</w:t>
      </w:r>
      <w:proofErr w:type="spellEnd"/>
      <w:r w:rsidRPr="000D0569">
        <w:rPr>
          <w:rFonts w:eastAsia="Times New Roman" w:cs="Times New Roman"/>
        </w:rPr>
        <w:t xml:space="preserve">, S. (2011). IT Outsourcing in the Public Sector: A Literature Analysis. </w:t>
      </w:r>
      <w:r w:rsidRPr="000D0569">
        <w:rPr>
          <w:rFonts w:eastAsia="Times New Roman" w:cs="Times New Roman"/>
          <w:i/>
          <w:iCs/>
        </w:rPr>
        <w:t>Journal of Global Information Technology Management</w:t>
      </w:r>
      <w:r w:rsidRPr="000D0569">
        <w:rPr>
          <w:rFonts w:eastAsia="Times New Roman" w:cs="Times New Roman"/>
        </w:rPr>
        <w:t>.</w:t>
      </w:r>
    </w:p>
    <w:p w:rsidR="000D0569" w:rsidRDefault="00D45639" w:rsidP="000D0569">
      <w:pPr>
        <w:spacing w:before="100" w:beforeAutospacing="1" w:after="100" w:afterAutospacing="1" w:line="240" w:lineRule="auto"/>
        <w:ind w:left="360"/>
        <w:rPr>
          <w:rFonts w:eastAsia="Times New Roman" w:cs="Times New Roman"/>
        </w:rPr>
      </w:pPr>
      <w:r>
        <w:rPr>
          <w:rFonts w:eastAsia="Times New Roman" w:cs="Times New Roman"/>
        </w:rPr>
        <w:t>Markus, M. L.</w:t>
      </w:r>
      <w:r w:rsidR="000D0569" w:rsidRPr="000D0569">
        <w:rPr>
          <w:rFonts w:eastAsia="Times New Roman" w:cs="Times New Roman"/>
        </w:rPr>
        <w:t xml:space="preserve">, &amp; Bui, Q. (2011). Going Concerns: The Governance of Interorganizational Coordination Hubs. </w:t>
      </w:r>
      <w:proofErr w:type="gramStart"/>
      <w:r w:rsidR="000D0569" w:rsidRPr="000D0569">
        <w:rPr>
          <w:rFonts w:eastAsia="Times New Roman" w:cs="Times New Roman"/>
          <w:i/>
          <w:iCs/>
        </w:rPr>
        <w:t>Journal of Management Information Systems</w:t>
      </w:r>
      <w:r w:rsidR="000D0569" w:rsidRPr="000D0569">
        <w:rPr>
          <w:rFonts w:eastAsia="Times New Roman" w:cs="Times New Roman"/>
        </w:rPr>
        <w:t>.</w:t>
      </w:r>
      <w:proofErr w:type="gramEnd"/>
      <w:r w:rsidR="000D0569" w:rsidRPr="000D0569">
        <w:rPr>
          <w:rFonts w:eastAsia="Times New Roman" w:cs="Times New Roman"/>
        </w:rPr>
        <w:t xml:space="preserve"> </w:t>
      </w:r>
    </w:p>
    <w:p w:rsidR="00D45639" w:rsidRPr="00292174" w:rsidRDefault="00D45639" w:rsidP="000D0569">
      <w:pPr>
        <w:spacing w:before="100" w:beforeAutospacing="1" w:after="100" w:afterAutospacing="1" w:line="240" w:lineRule="auto"/>
        <w:ind w:left="360"/>
        <w:rPr>
          <w:rFonts w:eastAsia="Times New Roman" w:cs="Times New Roman"/>
        </w:rPr>
      </w:pPr>
      <w:proofErr w:type="spellStart"/>
      <w:r>
        <w:rPr>
          <w:rFonts w:eastAsia="Times New Roman" w:cs="Times New Roman"/>
        </w:rPr>
        <w:t>Ragin</w:t>
      </w:r>
      <w:proofErr w:type="spellEnd"/>
      <w:r>
        <w:rPr>
          <w:rFonts w:eastAsia="Times New Roman" w:cs="Times New Roman"/>
        </w:rPr>
        <w:t>, C.C.</w:t>
      </w:r>
      <w:r w:rsidR="00292174">
        <w:rPr>
          <w:rFonts w:eastAsia="Times New Roman" w:cs="Times New Roman"/>
        </w:rPr>
        <w:t xml:space="preserve"> (2008) </w:t>
      </w:r>
      <w:r w:rsidR="00292174">
        <w:rPr>
          <w:rFonts w:eastAsia="Times New Roman" w:cs="Times New Roman"/>
          <w:i/>
        </w:rPr>
        <w:t>Redesigning Social Inquiry</w:t>
      </w:r>
      <w:r w:rsidR="00292174">
        <w:rPr>
          <w:rFonts w:eastAsia="Times New Roman" w:cs="Times New Roman"/>
        </w:rPr>
        <w:t>, University of Chicago Press, Chicago.</w:t>
      </w:r>
    </w:p>
    <w:p w:rsidR="004B1693" w:rsidRPr="004B1693" w:rsidRDefault="004B1693" w:rsidP="004B1693">
      <w:pPr>
        <w:pStyle w:val="NoSpacing"/>
        <w:ind w:left="360" w:firstLine="0"/>
        <w:rPr>
          <w:rFonts w:asciiTheme="minorHAnsi" w:hAnsiTheme="minorHAnsi"/>
          <w:sz w:val="22"/>
        </w:rPr>
      </w:pPr>
      <w:proofErr w:type="gramStart"/>
      <w:r w:rsidRPr="004B1693">
        <w:rPr>
          <w:rFonts w:asciiTheme="minorHAnsi" w:hAnsiTheme="minorHAnsi"/>
          <w:sz w:val="22"/>
        </w:rPr>
        <w:t xml:space="preserve">Sawyer, S., </w:t>
      </w:r>
      <w:proofErr w:type="spellStart"/>
      <w:r w:rsidRPr="004B1693">
        <w:rPr>
          <w:rFonts w:asciiTheme="minorHAnsi" w:hAnsiTheme="minorHAnsi"/>
          <w:sz w:val="22"/>
        </w:rPr>
        <w:t>Schrier</w:t>
      </w:r>
      <w:proofErr w:type="spellEnd"/>
      <w:r w:rsidRPr="004B1693">
        <w:rPr>
          <w:rFonts w:asciiTheme="minorHAnsi" w:hAnsiTheme="minorHAnsi"/>
          <w:sz w:val="22"/>
        </w:rPr>
        <w:t xml:space="preserve">, R., Fedorowicz, J., Dias, M., Williams, C. B., </w:t>
      </w:r>
      <w:proofErr w:type="spellStart"/>
      <w:r w:rsidRPr="004B1693">
        <w:rPr>
          <w:rFonts w:asciiTheme="minorHAnsi" w:hAnsiTheme="minorHAnsi"/>
          <w:sz w:val="22"/>
        </w:rPr>
        <w:t>Tyworth</w:t>
      </w:r>
      <w:proofErr w:type="spellEnd"/>
      <w:r w:rsidRPr="004B1693">
        <w:rPr>
          <w:rFonts w:asciiTheme="minorHAnsi" w:hAnsiTheme="minorHAnsi"/>
          <w:sz w:val="22"/>
        </w:rPr>
        <w:t>, M. (2013).</w:t>
      </w:r>
      <w:proofErr w:type="gramEnd"/>
      <w:r w:rsidRPr="004B1693">
        <w:rPr>
          <w:rFonts w:asciiTheme="minorHAnsi" w:hAnsiTheme="minorHAnsi"/>
          <w:sz w:val="22"/>
        </w:rPr>
        <w:t xml:space="preserve"> US Public Safety Networks: Architectural Patterns and Performance. </w:t>
      </w:r>
      <w:r w:rsidRPr="004B1693">
        <w:rPr>
          <w:rFonts w:asciiTheme="minorHAnsi" w:hAnsiTheme="minorHAnsi"/>
          <w:i/>
          <w:iCs/>
          <w:sz w:val="22"/>
        </w:rPr>
        <w:t>Information Polity, 18</w:t>
      </w:r>
      <w:r w:rsidRPr="004B1693">
        <w:rPr>
          <w:rFonts w:asciiTheme="minorHAnsi" w:hAnsiTheme="minorHAnsi"/>
          <w:sz w:val="22"/>
        </w:rPr>
        <w:t>(2), 139-156.</w:t>
      </w:r>
    </w:p>
    <w:p w:rsidR="004B1693" w:rsidRPr="004B1693" w:rsidRDefault="004B1693" w:rsidP="000D0569">
      <w:pPr>
        <w:spacing w:before="100" w:beforeAutospacing="1" w:after="100" w:afterAutospacing="1" w:line="240" w:lineRule="auto"/>
        <w:ind w:left="360"/>
        <w:rPr>
          <w:rFonts w:eastAsia="Times New Roman" w:cs="Times New Roman"/>
        </w:rPr>
      </w:pPr>
      <w:r>
        <w:rPr>
          <w:rFonts w:eastAsia="Times New Roman" w:cs="Times New Roman"/>
        </w:rPr>
        <w:t xml:space="preserve">Tomasino, A. (2013) </w:t>
      </w:r>
      <w:r w:rsidRPr="004B1693">
        <w:rPr>
          <w:rFonts w:eastAsia="Times New Roman" w:cs="Times New Roman"/>
          <w:i/>
        </w:rPr>
        <w:t>The Use of Complexity Theory and Strange Attractors to Understand and Explain Information System Development</w:t>
      </w:r>
      <w:r>
        <w:rPr>
          <w:rFonts w:eastAsia="Times New Roman" w:cs="Times New Roman"/>
          <w:i/>
        </w:rPr>
        <w:t xml:space="preserve">, </w:t>
      </w:r>
      <w:r>
        <w:rPr>
          <w:rFonts w:eastAsia="Times New Roman" w:cs="Times New Roman"/>
        </w:rPr>
        <w:t xml:space="preserve"> doctoral dissertation, Bentley University.</w:t>
      </w:r>
    </w:p>
    <w:p w:rsidR="004B1693" w:rsidRDefault="004B1693" w:rsidP="004B1693">
      <w:pPr>
        <w:spacing w:before="240" w:beforeAutospacing="1" w:after="100" w:afterAutospacing="1" w:line="240" w:lineRule="auto"/>
        <w:ind w:left="360"/>
      </w:pPr>
      <w:r>
        <w:t xml:space="preserve">Tomasino, A., Fedorowicz, J., Williams, C. B. (Under review) Taking Shared Services Out of the “Back-Office”: Safety Critical Shared Services. </w:t>
      </w:r>
    </w:p>
    <w:p w:rsidR="000D0569" w:rsidRDefault="000D0569" w:rsidP="000D0569">
      <w:pPr>
        <w:spacing w:before="100" w:beforeAutospacing="1" w:after="100" w:afterAutospacing="1" w:line="240" w:lineRule="auto"/>
        <w:ind w:left="360"/>
        <w:rPr>
          <w:rFonts w:eastAsia="Times New Roman" w:cs="Times New Roman"/>
        </w:rPr>
      </w:pPr>
      <w:r w:rsidRPr="000D0569">
        <w:rPr>
          <w:rFonts w:eastAsia="Times New Roman" w:cs="Times New Roman"/>
        </w:rPr>
        <w:t>T</w:t>
      </w:r>
      <w:r w:rsidRPr="00A054E1">
        <w:rPr>
          <w:rFonts w:eastAsia="Times New Roman" w:cs="Times New Roman"/>
        </w:rPr>
        <w:t>o</w:t>
      </w:r>
      <w:r w:rsidRPr="000D0569">
        <w:rPr>
          <w:rFonts w:eastAsia="Times New Roman" w:cs="Times New Roman"/>
        </w:rPr>
        <w:t>m</w:t>
      </w:r>
      <w:r w:rsidRPr="00A054E1">
        <w:rPr>
          <w:rFonts w:eastAsia="Times New Roman" w:cs="Times New Roman"/>
        </w:rPr>
        <w:t>a</w:t>
      </w:r>
      <w:r w:rsidRPr="000D0569">
        <w:rPr>
          <w:rFonts w:eastAsia="Times New Roman" w:cs="Times New Roman"/>
        </w:rPr>
        <w:t xml:space="preserve">sino, A., Fedorowicz, J., Williams, C., </w:t>
      </w:r>
      <w:proofErr w:type="spellStart"/>
      <w:r w:rsidRPr="000D0569">
        <w:rPr>
          <w:rFonts w:eastAsia="Times New Roman" w:cs="Times New Roman"/>
        </w:rPr>
        <w:t>Gentner</w:t>
      </w:r>
      <w:proofErr w:type="spellEnd"/>
      <w:r w:rsidRPr="000D0569">
        <w:rPr>
          <w:rFonts w:eastAsia="Times New Roman" w:cs="Times New Roman"/>
        </w:rPr>
        <w:t xml:space="preserve">, A., &amp; Hughes, T. (forthcoming). Embracing System Complexity: Lessons Learned from Winnebago County’s Shared Service Center Collaboration. </w:t>
      </w:r>
      <w:r w:rsidRPr="000D0569">
        <w:rPr>
          <w:rFonts w:eastAsia="Times New Roman" w:cs="Times New Roman"/>
          <w:i/>
          <w:iCs/>
        </w:rPr>
        <w:t>MIS Quarterly Executive</w:t>
      </w:r>
      <w:r w:rsidRPr="000D0569">
        <w:rPr>
          <w:rFonts w:eastAsia="Times New Roman" w:cs="Times New Roman"/>
        </w:rPr>
        <w:t xml:space="preserve">. June 2014. </w:t>
      </w:r>
    </w:p>
    <w:p w:rsidR="000D0569" w:rsidRPr="00A054E1" w:rsidRDefault="000D0569" w:rsidP="000D0569">
      <w:pPr>
        <w:spacing w:before="100" w:beforeAutospacing="1" w:after="100" w:afterAutospacing="1" w:line="240" w:lineRule="auto"/>
        <w:ind w:left="360"/>
        <w:rPr>
          <w:rFonts w:eastAsia="Times New Roman" w:cs="Times New Roman"/>
        </w:rPr>
      </w:pPr>
      <w:r w:rsidRPr="00A054E1">
        <w:lastRenderedPageBreak/>
        <w:t xml:space="preserve">Williams, C. B., &amp; Fedorowicz, J. (2011). Rational Choice and Institutional Factors Underpinning State-level Interagency Collaboration Initiatives. </w:t>
      </w:r>
      <w:r w:rsidRPr="00A054E1">
        <w:rPr>
          <w:i/>
          <w:iCs/>
        </w:rPr>
        <w:t>Transforming Government: People, Process and Policy, 6</w:t>
      </w:r>
      <w:r w:rsidRPr="00A054E1">
        <w:t>(1), 13-26.</w:t>
      </w:r>
    </w:p>
    <w:p w:rsidR="000D0569" w:rsidRPr="00A054E1" w:rsidRDefault="000D0569" w:rsidP="000D0569">
      <w:pPr>
        <w:spacing w:before="100" w:beforeAutospacing="1" w:after="100" w:afterAutospacing="1" w:line="240" w:lineRule="auto"/>
        <w:ind w:left="360"/>
      </w:pPr>
      <w:r w:rsidRPr="00A054E1">
        <w:t xml:space="preserve">Williams, C. B., Fedorowicz, J., Sawyer, S., Dias, M., Jacobson, D., </w:t>
      </w:r>
      <w:proofErr w:type="spellStart"/>
      <w:r w:rsidRPr="00A054E1">
        <w:t>Tyworth</w:t>
      </w:r>
      <w:proofErr w:type="spellEnd"/>
      <w:r w:rsidRPr="00A054E1">
        <w:t xml:space="preserve">, M., and </w:t>
      </w:r>
      <w:proofErr w:type="spellStart"/>
      <w:r w:rsidRPr="00A054E1">
        <w:t>Vilvovsky</w:t>
      </w:r>
      <w:proofErr w:type="spellEnd"/>
      <w:r w:rsidRPr="00A054E1">
        <w:t xml:space="preserve">, S. </w:t>
      </w:r>
      <w:r w:rsidR="004B1693">
        <w:t>(2009)</w:t>
      </w:r>
      <w:r w:rsidR="004B1693" w:rsidRPr="00A054E1">
        <w:t xml:space="preserve"> </w:t>
      </w:r>
      <w:r w:rsidRPr="00A054E1">
        <w:t xml:space="preserve">“The Formation of Inter-Organizational Information Sharing Networks in Public Safety: Cartographic Insights on Rational Choice and Institutional Explanations.” </w:t>
      </w:r>
      <w:r w:rsidRPr="00A054E1">
        <w:rPr>
          <w:i/>
          <w:iCs/>
        </w:rPr>
        <w:t>Information Polity</w:t>
      </w:r>
      <w:r w:rsidRPr="00A054E1">
        <w:t xml:space="preserve">, Vol. 14, Nos. 1-2, pp. 13-29. </w:t>
      </w:r>
    </w:p>
    <w:p w:rsidR="000D0569" w:rsidRPr="000D0569" w:rsidRDefault="000D0569" w:rsidP="000D0569">
      <w:pPr>
        <w:spacing w:before="100" w:beforeAutospacing="1" w:after="100" w:afterAutospacing="1" w:line="240" w:lineRule="auto"/>
        <w:ind w:left="360"/>
        <w:rPr>
          <w:rFonts w:eastAsia="Times New Roman" w:cs="Times New Roman"/>
        </w:rPr>
      </w:pPr>
      <w:r w:rsidRPr="00A054E1">
        <w:t xml:space="preserve">Williams, C. B., Gogan, J. L., &amp; Fedorowicz, J. (2005). Public Safety and Cross-Boundary Data Sharing: Lessons from the </w:t>
      </w:r>
      <w:proofErr w:type="spellStart"/>
      <w:r w:rsidRPr="00A054E1">
        <w:t>CapWIN</w:t>
      </w:r>
      <w:proofErr w:type="spellEnd"/>
      <w:r w:rsidRPr="00A054E1">
        <w:t xml:space="preserve"> Project. </w:t>
      </w:r>
      <w:r w:rsidRPr="00A054E1">
        <w:rPr>
          <w:i/>
          <w:iCs/>
        </w:rPr>
        <w:t>IEEE Computer, 38(12)</w:t>
      </w:r>
      <w:r w:rsidRPr="00A054E1">
        <w:t>, 28.</w:t>
      </w:r>
    </w:p>
    <w:p w:rsidR="000D0569" w:rsidRPr="00A054E1" w:rsidRDefault="000D0569">
      <w:pPr>
        <w:spacing w:after="160" w:line="259" w:lineRule="auto"/>
      </w:pPr>
    </w:p>
    <w:sectPr w:rsidR="000D0569" w:rsidRPr="00A054E1" w:rsidSect="00E0592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2CC" w:rsidRDefault="00AF62CC" w:rsidP="00B9675F">
      <w:pPr>
        <w:spacing w:after="0" w:line="240" w:lineRule="auto"/>
      </w:pPr>
      <w:r>
        <w:separator/>
      </w:r>
    </w:p>
  </w:endnote>
  <w:endnote w:type="continuationSeparator" w:id="0">
    <w:p w:rsidR="00AF62CC" w:rsidRDefault="00AF62CC" w:rsidP="00B96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2CC" w:rsidRDefault="00AF62CC" w:rsidP="00B9675F">
      <w:pPr>
        <w:spacing w:after="0" w:line="240" w:lineRule="auto"/>
      </w:pPr>
      <w:r>
        <w:separator/>
      </w:r>
    </w:p>
  </w:footnote>
  <w:footnote w:type="continuationSeparator" w:id="0">
    <w:p w:rsidR="00AF62CC" w:rsidRDefault="00AF62CC" w:rsidP="00B9675F">
      <w:pPr>
        <w:spacing w:after="0" w:line="240" w:lineRule="auto"/>
      </w:pPr>
      <w:r>
        <w:continuationSeparator/>
      </w:r>
    </w:p>
  </w:footnote>
  <w:footnote w:id="1">
    <w:p w:rsidR="00456483" w:rsidRPr="00B9675F" w:rsidRDefault="00456483" w:rsidP="00B9675F">
      <w:pPr>
        <w:pStyle w:val="FootnoteText"/>
      </w:pPr>
      <w:r>
        <w:rPr>
          <w:rStyle w:val="FootnoteReference"/>
        </w:rPr>
        <w:footnoteRef/>
      </w:r>
      <w:r>
        <w:t xml:space="preserve"> The team includes M. Lynne Markus, Christine B. Williams, Sonia </w:t>
      </w:r>
      <w:proofErr w:type="spellStart"/>
      <w:r>
        <w:t>Gantman</w:t>
      </w:r>
      <w:proofErr w:type="spellEnd"/>
      <w:r>
        <w:t xml:space="preserve"> (</w:t>
      </w:r>
      <w:proofErr w:type="spellStart"/>
      <w:r>
        <w:t>Vilvovsky</w:t>
      </w:r>
      <w:proofErr w:type="spellEnd"/>
      <w:r>
        <w:t xml:space="preserve">), Martin Dias, Mike </w:t>
      </w:r>
      <w:proofErr w:type="spellStart"/>
      <w:r>
        <w:t>Tyworth</w:t>
      </w:r>
      <w:proofErr w:type="spellEnd"/>
      <w:r>
        <w:t xml:space="preserve">, and </w:t>
      </w:r>
      <w:proofErr w:type="spellStart"/>
      <w:r>
        <w:t>Dax</w:t>
      </w:r>
      <w:proofErr w:type="spellEnd"/>
      <w:r>
        <w:t xml:space="preserve"> Jacobson. This work was supported by</w:t>
      </w:r>
      <w:r w:rsidRPr="00B9675F">
        <w:t xml:space="preserve"> N</w:t>
      </w:r>
      <w:r>
        <w:t xml:space="preserve">ational </w:t>
      </w:r>
      <w:r w:rsidRPr="00B9675F">
        <w:t>S</w:t>
      </w:r>
      <w:r>
        <w:t xml:space="preserve">cience </w:t>
      </w:r>
      <w:r w:rsidRPr="00B9675F">
        <w:t>F</w:t>
      </w:r>
      <w:r>
        <w:t xml:space="preserve">oundation grants 0852688 &amp; 0534877 and by a grant from the </w:t>
      </w:r>
      <w:r w:rsidRPr="00B9675F">
        <w:t xml:space="preserve">IBM </w:t>
      </w:r>
      <w:r>
        <w:t xml:space="preserve">Center for the </w:t>
      </w:r>
      <w:r w:rsidRPr="00B9675F">
        <w:t>Business of Government</w:t>
      </w:r>
      <w:r>
        <w:t xml:space="preserve">. See </w:t>
      </w:r>
      <w:hyperlink r:id="rId1" w:history="1">
        <w:r w:rsidRPr="00DD6AAC">
          <w:rPr>
            <w:rStyle w:val="Hyperlink"/>
          </w:rPr>
          <w:t>www.PublicSafetyNetworksStudy.org</w:t>
        </w:r>
      </w:hyperlink>
      <w:r>
        <w:t xml:space="preserve"> for more information.</w:t>
      </w:r>
    </w:p>
    <w:p w:rsidR="00456483" w:rsidRDefault="00456483">
      <w:pPr>
        <w:pStyle w:val="FootnoteText"/>
      </w:pPr>
    </w:p>
  </w:footnote>
  <w:footnote w:id="2">
    <w:p w:rsidR="00456483" w:rsidRPr="00B47002" w:rsidRDefault="00456483" w:rsidP="00B47002">
      <w:pPr>
        <w:spacing w:before="100" w:beforeAutospacing="1" w:after="100" w:afterAutospacing="1" w:line="240" w:lineRule="auto"/>
        <w:rPr>
          <w:rFonts w:eastAsia="Times New Roman" w:cs="Times New Roman"/>
          <w:sz w:val="18"/>
        </w:rPr>
      </w:pPr>
      <w:r>
        <w:rPr>
          <w:rStyle w:val="FootnoteReference"/>
        </w:rPr>
        <w:footnoteRef/>
      </w:r>
      <w:r>
        <w:t xml:space="preserve"> </w:t>
      </w:r>
      <w:r>
        <w:rPr>
          <w:rFonts w:eastAsia="Times New Roman" w:cs="Times New Roman"/>
          <w:sz w:val="18"/>
        </w:rPr>
        <w:t xml:space="preserve">The methods and </w:t>
      </w:r>
      <w:r w:rsidRPr="00B47002">
        <w:rPr>
          <w:rFonts w:eastAsia="Times New Roman" w:cs="Times New Roman"/>
          <w:sz w:val="18"/>
        </w:rPr>
        <w:t>fsQCA</w:t>
      </w:r>
      <w:r>
        <w:rPr>
          <w:rFonts w:eastAsia="Times New Roman" w:cs="Times New Roman"/>
          <w:sz w:val="18"/>
        </w:rPr>
        <w:t xml:space="preserve"> </w:t>
      </w:r>
      <w:r w:rsidRPr="00B47002">
        <w:rPr>
          <w:rFonts w:eastAsia="Times New Roman" w:cs="Times New Roman"/>
          <w:sz w:val="18"/>
        </w:rPr>
        <w:t>section</w:t>
      </w:r>
      <w:r>
        <w:rPr>
          <w:rFonts w:eastAsia="Times New Roman" w:cs="Times New Roman"/>
          <w:sz w:val="18"/>
        </w:rPr>
        <w:t>s are</w:t>
      </w:r>
      <w:r w:rsidRPr="00B47002">
        <w:rPr>
          <w:rFonts w:eastAsia="Times New Roman" w:cs="Times New Roman"/>
          <w:sz w:val="18"/>
        </w:rPr>
        <w:t xml:space="preserve"> adapted from (Sawyer et</w:t>
      </w:r>
      <w:r>
        <w:rPr>
          <w:rFonts w:eastAsia="Times New Roman" w:cs="Times New Roman"/>
          <w:sz w:val="18"/>
        </w:rPr>
        <w:t xml:space="preserve"> al, 2013).</w:t>
      </w:r>
    </w:p>
    <w:p w:rsidR="00456483" w:rsidRDefault="0045648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EFD"/>
    <w:multiLevelType w:val="multilevel"/>
    <w:tmpl w:val="5E009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B28C6"/>
    <w:multiLevelType w:val="multilevel"/>
    <w:tmpl w:val="BBF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E0393"/>
    <w:multiLevelType w:val="multilevel"/>
    <w:tmpl w:val="B2CC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754BA"/>
    <w:multiLevelType w:val="hybridMultilevel"/>
    <w:tmpl w:val="C0924762"/>
    <w:lvl w:ilvl="0" w:tplc="E16A3E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5831BD"/>
    <w:multiLevelType w:val="hybridMultilevel"/>
    <w:tmpl w:val="3F6EEFB0"/>
    <w:lvl w:ilvl="0" w:tplc="36802DB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252DD7"/>
    <w:multiLevelType w:val="multilevel"/>
    <w:tmpl w:val="874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trackRevisions/>
  <w:defaultTabStop w:val="720"/>
  <w:characterSpacingControl w:val="doNotCompress"/>
  <w:footnotePr>
    <w:footnote w:id="-1"/>
    <w:footnote w:id="0"/>
  </w:footnotePr>
  <w:endnotePr>
    <w:endnote w:id="-1"/>
    <w:endnote w:id="0"/>
  </w:endnotePr>
  <w:compat/>
  <w:rsids>
    <w:rsidRoot w:val="00E0592D"/>
    <w:rsid w:val="00060E30"/>
    <w:rsid w:val="000D0569"/>
    <w:rsid w:val="00111D79"/>
    <w:rsid w:val="001623AF"/>
    <w:rsid w:val="001B2681"/>
    <w:rsid w:val="00292174"/>
    <w:rsid w:val="00443006"/>
    <w:rsid w:val="00456483"/>
    <w:rsid w:val="00475C3A"/>
    <w:rsid w:val="00481E66"/>
    <w:rsid w:val="004B1693"/>
    <w:rsid w:val="004D670D"/>
    <w:rsid w:val="00520FCD"/>
    <w:rsid w:val="00540531"/>
    <w:rsid w:val="00596282"/>
    <w:rsid w:val="007A0512"/>
    <w:rsid w:val="00814C71"/>
    <w:rsid w:val="00873607"/>
    <w:rsid w:val="008D006D"/>
    <w:rsid w:val="008D5D7C"/>
    <w:rsid w:val="008F5B81"/>
    <w:rsid w:val="00945F95"/>
    <w:rsid w:val="009F44F1"/>
    <w:rsid w:val="00A054E1"/>
    <w:rsid w:val="00A1363C"/>
    <w:rsid w:val="00A429F9"/>
    <w:rsid w:val="00AF62CC"/>
    <w:rsid w:val="00B005DE"/>
    <w:rsid w:val="00B10420"/>
    <w:rsid w:val="00B47002"/>
    <w:rsid w:val="00B6492A"/>
    <w:rsid w:val="00B8200C"/>
    <w:rsid w:val="00B9675F"/>
    <w:rsid w:val="00BC1CE6"/>
    <w:rsid w:val="00C03C27"/>
    <w:rsid w:val="00C6661F"/>
    <w:rsid w:val="00CE3237"/>
    <w:rsid w:val="00D4356F"/>
    <w:rsid w:val="00D45639"/>
    <w:rsid w:val="00D91D6B"/>
    <w:rsid w:val="00E0592D"/>
    <w:rsid w:val="00E22D68"/>
    <w:rsid w:val="00F95AA6"/>
    <w:rsid w:val="00FA1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2D"/>
    <w:pPr>
      <w:spacing w:after="200" w:line="276" w:lineRule="auto"/>
    </w:pPr>
  </w:style>
  <w:style w:type="paragraph" w:styleId="Heading1">
    <w:name w:val="heading 1"/>
    <w:basedOn w:val="Normal"/>
    <w:next w:val="Normal"/>
    <w:link w:val="Heading1Char"/>
    <w:uiPriority w:val="9"/>
    <w:qFormat/>
    <w:rsid w:val="00E05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0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2D"/>
    <w:pPr>
      <w:ind w:left="720"/>
      <w:contextualSpacing/>
    </w:pPr>
  </w:style>
  <w:style w:type="character" w:customStyle="1" w:styleId="Heading1Char">
    <w:name w:val="Heading 1 Char"/>
    <w:basedOn w:val="DefaultParagraphFont"/>
    <w:link w:val="Heading1"/>
    <w:uiPriority w:val="9"/>
    <w:rsid w:val="00E0592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D5D7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9675F"/>
    <w:pPr>
      <w:spacing w:after="0" w:line="240" w:lineRule="auto"/>
    </w:pPr>
    <w:rPr>
      <w:sz w:val="20"/>
      <w:szCs w:val="20"/>
    </w:rPr>
  </w:style>
  <w:style w:type="character" w:customStyle="1" w:styleId="FootnoteTextChar">
    <w:name w:val="Footnote Text Char"/>
    <w:basedOn w:val="DefaultParagraphFont"/>
    <w:link w:val="FootnoteText"/>
    <w:uiPriority w:val="99"/>
    <w:rsid w:val="00B9675F"/>
    <w:rPr>
      <w:sz w:val="20"/>
      <w:szCs w:val="20"/>
    </w:rPr>
  </w:style>
  <w:style w:type="character" w:styleId="FootnoteReference">
    <w:name w:val="footnote reference"/>
    <w:basedOn w:val="DefaultParagraphFont"/>
    <w:uiPriority w:val="99"/>
    <w:semiHidden/>
    <w:unhideWhenUsed/>
    <w:rsid w:val="00B9675F"/>
    <w:rPr>
      <w:vertAlign w:val="superscript"/>
    </w:rPr>
  </w:style>
  <w:style w:type="character" w:styleId="Hyperlink">
    <w:name w:val="Hyperlink"/>
    <w:basedOn w:val="DefaultParagraphFont"/>
    <w:uiPriority w:val="99"/>
    <w:unhideWhenUsed/>
    <w:rsid w:val="000D0569"/>
    <w:rPr>
      <w:color w:val="0563C1" w:themeColor="hyperlink"/>
      <w:u w:val="single"/>
    </w:rPr>
  </w:style>
  <w:style w:type="character" w:customStyle="1" w:styleId="Heading2Char">
    <w:name w:val="Heading 2 Char"/>
    <w:basedOn w:val="DefaultParagraphFont"/>
    <w:link w:val="Heading2"/>
    <w:uiPriority w:val="9"/>
    <w:rsid w:val="000D0569"/>
    <w:rPr>
      <w:rFonts w:asciiTheme="majorHAnsi" w:eastAsiaTheme="majorEastAsia" w:hAnsiTheme="majorHAnsi" w:cstheme="majorBidi"/>
      <w:color w:val="2E74B5" w:themeColor="accent1" w:themeShade="BF"/>
      <w:sz w:val="26"/>
      <w:szCs w:val="26"/>
    </w:rPr>
  </w:style>
  <w:style w:type="paragraph" w:styleId="NoSpacing">
    <w:name w:val="No Spacing"/>
    <w:uiPriority w:val="99"/>
    <w:qFormat/>
    <w:rsid w:val="004B1693"/>
    <w:pPr>
      <w:autoSpaceDE w:val="0"/>
      <w:autoSpaceDN w:val="0"/>
      <w:adjustRightInd w:val="0"/>
      <w:spacing w:after="0" w:line="240" w:lineRule="auto"/>
      <w:ind w:left="1800" w:hanging="360"/>
    </w:pPr>
    <w:rPr>
      <w:rFonts w:ascii="Times New Roman" w:eastAsiaTheme="minorEastAsia" w:hAnsi="Times New Roman" w:cs="Times New Roman"/>
      <w:sz w:val="24"/>
      <w:szCs w:val="24"/>
    </w:rPr>
  </w:style>
  <w:style w:type="paragraph" w:styleId="DocumentMap">
    <w:name w:val="Document Map"/>
    <w:basedOn w:val="Normal"/>
    <w:link w:val="DocumentMapChar"/>
    <w:uiPriority w:val="99"/>
    <w:semiHidden/>
    <w:unhideWhenUsed/>
    <w:rsid w:val="00C03C2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03C27"/>
    <w:rPr>
      <w:rFonts w:ascii="Lucida Grande" w:hAnsi="Lucida Grande" w:cs="Lucida Grande"/>
      <w:sz w:val="24"/>
      <w:szCs w:val="24"/>
    </w:rPr>
  </w:style>
  <w:style w:type="paragraph" w:styleId="BalloonText">
    <w:name w:val="Balloon Text"/>
    <w:basedOn w:val="Normal"/>
    <w:link w:val="BalloonTextChar"/>
    <w:uiPriority w:val="99"/>
    <w:semiHidden/>
    <w:unhideWhenUsed/>
    <w:rsid w:val="00C03C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C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3C27"/>
    <w:rPr>
      <w:sz w:val="18"/>
      <w:szCs w:val="18"/>
    </w:rPr>
  </w:style>
  <w:style w:type="paragraph" w:styleId="CommentText">
    <w:name w:val="annotation text"/>
    <w:basedOn w:val="Normal"/>
    <w:link w:val="CommentTextChar"/>
    <w:uiPriority w:val="99"/>
    <w:semiHidden/>
    <w:unhideWhenUsed/>
    <w:rsid w:val="00C03C27"/>
    <w:pPr>
      <w:spacing w:line="240" w:lineRule="auto"/>
    </w:pPr>
    <w:rPr>
      <w:sz w:val="24"/>
      <w:szCs w:val="24"/>
    </w:rPr>
  </w:style>
  <w:style w:type="character" w:customStyle="1" w:styleId="CommentTextChar">
    <w:name w:val="Comment Text Char"/>
    <w:basedOn w:val="DefaultParagraphFont"/>
    <w:link w:val="CommentText"/>
    <w:uiPriority w:val="99"/>
    <w:semiHidden/>
    <w:rsid w:val="00C03C27"/>
    <w:rPr>
      <w:sz w:val="24"/>
      <w:szCs w:val="24"/>
    </w:rPr>
  </w:style>
  <w:style w:type="paragraph" w:styleId="CommentSubject">
    <w:name w:val="annotation subject"/>
    <w:basedOn w:val="CommentText"/>
    <w:next w:val="CommentText"/>
    <w:link w:val="CommentSubjectChar"/>
    <w:uiPriority w:val="99"/>
    <w:semiHidden/>
    <w:unhideWhenUsed/>
    <w:rsid w:val="00C03C27"/>
    <w:rPr>
      <w:b/>
      <w:bCs/>
      <w:sz w:val="20"/>
      <w:szCs w:val="20"/>
    </w:rPr>
  </w:style>
  <w:style w:type="character" w:customStyle="1" w:styleId="CommentSubjectChar">
    <w:name w:val="Comment Subject Char"/>
    <w:basedOn w:val="CommentTextChar"/>
    <w:link w:val="CommentSubject"/>
    <w:uiPriority w:val="99"/>
    <w:semiHidden/>
    <w:rsid w:val="00C03C2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2D"/>
    <w:pPr>
      <w:spacing w:after="200" w:line="276" w:lineRule="auto"/>
    </w:pPr>
  </w:style>
  <w:style w:type="paragraph" w:styleId="Heading1">
    <w:name w:val="heading 1"/>
    <w:basedOn w:val="Normal"/>
    <w:next w:val="Normal"/>
    <w:link w:val="Heading1Char"/>
    <w:uiPriority w:val="9"/>
    <w:qFormat/>
    <w:rsid w:val="00E05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0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2D"/>
    <w:pPr>
      <w:ind w:left="720"/>
      <w:contextualSpacing/>
    </w:pPr>
  </w:style>
  <w:style w:type="character" w:customStyle="1" w:styleId="Heading1Char">
    <w:name w:val="Heading 1 Char"/>
    <w:basedOn w:val="DefaultParagraphFont"/>
    <w:link w:val="Heading1"/>
    <w:uiPriority w:val="9"/>
    <w:rsid w:val="00E0592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D5D7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9675F"/>
    <w:pPr>
      <w:spacing w:after="0" w:line="240" w:lineRule="auto"/>
    </w:pPr>
    <w:rPr>
      <w:sz w:val="20"/>
      <w:szCs w:val="20"/>
    </w:rPr>
  </w:style>
  <w:style w:type="character" w:customStyle="1" w:styleId="FootnoteTextChar">
    <w:name w:val="Footnote Text Char"/>
    <w:basedOn w:val="DefaultParagraphFont"/>
    <w:link w:val="FootnoteText"/>
    <w:uiPriority w:val="99"/>
    <w:rsid w:val="00B9675F"/>
    <w:rPr>
      <w:sz w:val="20"/>
      <w:szCs w:val="20"/>
    </w:rPr>
  </w:style>
  <w:style w:type="character" w:styleId="FootnoteReference">
    <w:name w:val="footnote reference"/>
    <w:basedOn w:val="DefaultParagraphFont"/>
    <w:uiPriority w:val="99"/>
    <w:semiHidden/>
    <w:unhideWhenUsed/>
    <w:rsid w:val="00B9675F"/>
    <w:rPr>
      <w:vertAlign w:val="superscript"/>
    </w:rPr>
  </w:style>
  <w:style w:type="character" w:styleId="Hyperlink">
    <w:name w:val="Hyperlink"/>
    <w:basedOn w:val="DefaultParagraphFont"/>
    <w:uiPriority w:val="99"/>
    <w:unhideWhenUsed/>
    <w:rsid w:val="000D0569"/>
    <w:rPr>
      <w:color w:val="0563C1" w:themeColor="hyperlink"/>
      <w:u w:val="single"/>
    </w:rPr>
  </w:style>
  <w:style w:type="character" w:customStyle="1" w:styleId="Heading2Char">
    <w:name w:val="Heading 2 Char"/>
    <w:basedOn w:val="DefaultParagraphFont"/>
    <w:link w:val="Heading2"/>
    <w:uiPriority w:val="9"/>
    <w:rsid w:val="000D0569"/>
    <w:rPr>
      <w:rFonts w:asciiTheme="majorHAnsi" w:eastAsiaTheme="majorEastAsia" w:hAnsiTheme="majorHAnsi" w:cstheme="majorBidi"/>
      <w:color w:val="2E74B5" w:themeColor="accent1" w:themeShade="BF"/>
      <w:sz w:val="26"/>
      <w:szCs w:val="26"/>
    </w:rPr>
  </w:style>
  <w:style w:type="paragraph" w:styleId="NoSpacing">
    <w:name w:val="No Spacing"/>
    <w:uiPriority w:val="99"/>
    <w:qFormat/>
    <w:rsid w:val="004B1693"/>
    <w:pPr>
      <w:autoSpaceDE w:val="0"/>
      <w:autoSpaceDN w:val="0"/>
      <w:adjustRightInd w:val="0"/>
      <w:spacing w:after="0" w:line="240" w:lineRule="auto"/>
      <w:ind w:left="1800" w:hanging="360"/>
    </w:pPr>
    <w:rPr>
      <w:rFonts w:ascii="Times New Roman" w:eastAsiaTheme="minorEastAsia" w:hAnsi="Times New Roman" w:cs="Times New Roman"/>
      <w:sz w:val="24"/>
      <w:szCs w:val="24"/>
    </w:rPr>
  </w:style>
  <w:style w:type="paragraph" w:styleId="DocumentMap">
    <w:name w:val="Document Map"/>
    <w:basedOn w:val="Normal"/>
    <w:link w:val="DocumentMapChar"/>
    <w:uiPriority w:val="99"/>
    <w:semiHidden/>
    <w:unhideWhenUsed/>
    <w:rsid w:val="00C03C2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03C27"/>
    <w:rPr>
      <w:rFonts w:ascii="Lucida Grande" w:hAnsi="Lucida Grande" w:cs="Lucida Grande"/>
      <w:sz w:val="24"/>
      <w:szCs w:val="24"/>
    </w:rPr>
  </w:style>
  <w:style w:type="paragraph" w:styleId="BalloonText">
    <w:name w:val="Balloon Text"/>
    <w:basedOn w:val="Normal"/>
    <w:link w:val="BalloonTextChar"/>
    <w:uiPriority w:val="99"/>
    <w:semiHidden/>
    <w:unhideWhenUsed/>
    <w:rsid w:val="00C03C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C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3C27"/>
    <w:rPr>
      <w:sz w:val="18"/>
      <w:szCs w:val="18"/>
    </w:rPr>
  </w:style>
  <w:style w:type="paragraph" w:styleId="CommentText">
    <w:name w:val="annotation text"/>
    <w:basedOn w:val="Normal"/>
    <w:link w:val="CommentTextChar"/>
    <w:uiPriority w:val="99"/>
    <w:semiHidden/>
    <w:unhideWhenUsed/>
    <w:rsid w:val="00C03C27"/>
    <w:pPr>
      <w:spacing w:line="240" w:lineRule="auto"/>
    </w:pPr>
    <w:rPr>
      <w:sz w:val="24"/>
      <w:szCs w:val="24"/>
    </w:rPr>
  </w:style>
  <w:style w:type="character" w:customStyle="1" w:styleId="CommentTextChar">
    <w:name w:val="Comment Text Char"/>
    <w:basedOn w:val="DefaultParagraphFont"/>
    <w:link w:val="CommentText"/>
    <w:uiPriority w:val="99"/>
    <w:semiHidden/>
    <w:rsid w:val="00C03C27"/>
    <w:rPr>
      <w:sz w:val="24"/>
      <w:szCs w:val="24"/>
    </w:rPr>
  </w:style>
  <w:style w:type="paragraph" w:styleId="CommentSubject">
    <w:name w:val="annotation subject"/>
    <w:basedOn w:val="CommentText"/>
    <w:next w:val="CommentText"/>
    <w:link w:val="CommentSubjectChar"/>
    <w:uiPriority w:val="99"/>
    <w:semiHidden/>
    <w:unhideWhenUsed/>
    <w:rsid w:val="00C03C27"/>
    <w:rPr>
      <w:b/>
      <w:bCs/>
      <w:sz w:val="20"/>
      <w:szCs w:val="20"/>
    </w:rPr>
  </w:style>
  <w:style w:type="character" w:customStyle="1" w:styleId="CommentSubjectChar">
    <w:name w:val="Comment Subject Char"/>
    <w:basedOn w:val="CommentTextChar"/>
    <w:link w:val="CommentSubject"/>
    <w:uiPriority w:val="99"/>
    <w:semiHidden/>
    <w:rsid w:val="00C03C27"/>
    <w:rPr>
      <w:b/>
      <w:bCs/>
      <w:sz w:val="20"/>
      <w:szCs w:val="20"/>
    </w:rPr>
  </w:style>
</w:styles>
</file>

<file path=word/webSettings.xml><?xml version="1.0" encoding="utf-8"?>
<w:webSettings xmlns:r="http://schemas.openxmlformats.org/officeDocument/2006/relationships" xmlns:w="http://schemas.openxmlformats.org/wordprocessingml/2006/main">
  <w:divs>
    <w:div w:id="29301290">
      <w:bodyDiv w:val="1"/>
      <w:marLeft w:val="0"/>
      <w:marRight w:val="0"/>
      <w:marTop w:val="0"/>
      <w:marBottom w:val="0"/>
      <w:divBdr>
        <w:top w:val="none" w:sz="0" w:space="0" w:color="auto"/>
        <w:left w:val="none" w:sz="0" w:space="0" w:color="auto"/>
        <w:bottom w:val="none" w:sz="0" w:space="0" w:color="auto"/>
        <w:right w:val="none" w:sz="0" w:space="0" w:color="auto"/>
      </w:divBdr>
      <w:divsChild>
        <w:div w:id="1307129773">
          <w:marLeft w:val="0"/>
          <w:marRight w:val="0"/>
          <w:marTop w:val="0"/>
          <w:marBottom w:val="0"/>
          <w:divBdr>
            <w:top w:val="none" w:sz="0" w:space="0" w:color="auto"/>
            <w:left w:val="none" w:sz="0" w:space="0" w:color="auto"/>
            <w:bottom w:val="none" w:sz="0" w:space="0" w:color="auto"/>
            <w:right w:val="none" w:sz="0" w:space="0" w:color="auto"/>
          </w:divBdr>
        </w:div>
      </w:divsChild>
    </w:div>
    <w:div w:id="171068670">
      <w:bodyDiv w:val="1"/>
      <w:marLeft w:val="0"/>
      <w:marRight w:val="0"/>
      <w:marTop w:val="0"/>
      <w:marBottom w:val="0"/>
      <w:divBdr>
        <w:top w:val="none" w:sz="0" w:space="0" w:color="auto"/>
        <w:left w:val="none" w:sz="0" w:space="0" w:color="auto"/>
        <w:bottom w:val="none" w:sz="0" w:space="0" w:color="auto"/>
        <w:right w:val="none" w:sz="0" w:space="0" w:color="auto"/>
      </w:divBdr>
    </w:div>
    <w:div w:id="308435562">
      <w:bodyDiv w:val="1"/>
      <w:marLeft w:val="0"/>
      <w:marRight w:val="0"/>
      <w:marTop w:val="0"/>
      <w:marBottom w:val="0"/>
      <w:divBdr>
        <w:top w:val="none" w:sz="0" w:space="0" w:color="auto"/>
        <w:left w:val="none" w:sz="0" w:space="0" w:color="auto"/>
        <w:bottom w:val="none" w:sz="0" w:space="0" w:color="auto"/>
        <w:right w:val="none" w:sz="0" w:space="0" w:color="auto"/>
      </w:divBdr>
      <w:divsChild>
        <w:div w:id="426658838">
          <w:marLeft w:val="0"/>
          <w:marRight w:val="0"/>
          <w:marTop w:val="0"/>
          <w:marBottom w:val="0"/>
          <w:divBdr>
            <w:top w:val="none" w:sz="0" w:space="0" w:color="auto"/>
            <w:left w:val="none" w:sz="0" w:space="0" w:color="auto"/>
            <w:bottom w:val="none" w:sz="0" w:space="0" w:color="auto"/>
            <w:right w:val="none" w:sz="0" w:space="0" w:color="auto"/>
          </w:divBdr>
        </w:div>
      </w:divsChild>
    </w:div>
    <w:div w:id="451636119">
      <w:bodyDiv w:val="1"/>
      <w:marLeft w:val="0"/>
      <w:marRight w:val="0"/>
      <w:marTop w:val="0"/>
      <w:marBottom w:val="0"/>
      <w:divBdr>
        <w:top w:val="none" w:sz="0" w:space="0" w:color="auto"/>
        <w:left w:val="none" w:sz="0" w:space="0" w:color="auto"/>
        <w:bottom w:val="none" w:sz="0" w:space="0" w:color="auto"/>
        <w:right w:val="none" w:sz="0" w:space="0" w:color="auto"/>
      </w:divBdr>
    </w:div>
    <w:div w:id="4970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qca.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SafetyNetworks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5073-D251-4C76-B5A3-ECDC70BC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Fedorowicz</dc:creator>
  <cp:lastModifiedBy>MikeG</cp:lastModifiedBy>
  <cp:revision>2</cp:revision>
  <dcterms:created xsi:type="dcterms:W3CDTF">2014-02-21T13:16:00Z</dcterms:created>
  <dcterms:modified xsi:type="dcterms:W3CDTF">2014-02-21T13:16:00Z</dcterms:modified>
</cp:coreProperties>
</file>