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AC05E" w14:textId="77777777" w:rsidR="000A0E0D" w:rsidRDefault="000A0E0D" w:rsidP="000A0E0D">
      <w:pPr>
        <w:spacing w:line="360" w:lineRule="auto"/>
        <w:rPr>
          <w:rFonts w:ascii="Times New Roman" w:hAnsi="Times New Roman" w:cs="Times New Roman"/>
          <w:sz w:val="24"/>
          <w:szCs w:val="24"/>
        </w:rPr>
      </w:pPr>
      <w:r>
        <w:rPr>
          <w:rFonts w:ascii="Times New Roman" w:hAnsi="Times New Roman" w:cs="Times New Roman"/>
          <w:sz w:val="24"/>
          <w:szCs w:val="24"/>
        </w:rPr>
        <w:t>Shihao Fei</w:t>
      </w:r>
    </w:p>
    <w:p w14:paraId="59E2ACC4" w14:textId="77777777" w:rsidR="000A0E0D" w:rsidRDefault="000A0E0D" w:rsidP="000A0E0D">
      <w:pPr>
        <w:spacing w:line="360" w:lineRule="auto"/>
        <w:rPr>
          <w:rFonts w:ascii="Times New Roman" w:hAnsi="Times New Roman" w:cs="Times New Roman"/>
          <w:sz w:val="24"/>
          <w:szCs w:val="24"/>
        </w:rPr>
      </w:pPr>
      <w:r>
        <w:rPr>
          <w:rFonts w:ascii="Times New Roman" w:hAnsi="Times New Roman" w:cs="Times New Roman"/>
          <w:sz w:val="24"/>
          <w:szCs w:val="24"/>
        </w:rPr>
        <w:t>MIS 2501</w:t>
      </w:r>
    </w:p>
    <w:p w14:paraId="680AB424" w14:textId="77777777" w:rsidR="000A0E0D" w:rsidRDefault="000A0E0D" w:rsidP="000A0E0D">
      <w:pPr>
        <w:spacing w:line="360" w:lineRule="auto"/>
        <w:rPr>
          <w:rFonts w:ascii="Times New Roman" w:hAnsi="Times New Roman" w:cs="Times New Roman"/>
          <w:sz w:val="24"/>
          <w:szCs w:val="24"/>
        </w:rPr>
      </w:pPr>
      <w:r>
        <w:rPr>
          <w:rFonts w:ascii="Times New Roman" w:hAnsi="Times New Roman" w:cs="Times New Roman"/>
          <w:sz w:val="24"/>
          <w:szCs w:val="24"/>
        </w:rPr>
        <w:t>Flash Research paper -Datacenters and Networking</w:t>
      </w:r>
    </w:p>
    <w:p w14:paraId="7DADBA37" w14:textId="6EC9B547" w:rsidR="000A0E0D" w:rsidRDefault="008C6580" w:rsidP="000A0E0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Our company will </w:t>
      </w:r>
      <w:r w:rsidR="000A0E0D">
        <w:rPr>
          <w:rFonts w:ascii="Times New Roman" w:hAnsi="Times New Roman" w:cs="Times New Roman"/>
          <w:sz w:val="24"/>
          <w:szCs w:val="24"/>
        </w:rPr>
        <w:t xml:space="preserve">receive $13million in profit </w:t>
      </w:r>
      <w:r w:rsidR="000A0E0D" w:rsidRPr="00AC3795">
        <w:rPr>
          <w:rFonts w:ascii="Times New Roman" w:hAnsi="Times New Roman" w:cs="Times New Roman"/>
          <w:sz w:val="24"/>
          <w:szCs w:val="24"/>
        </w:rPr>
        <w:t xml:space="preserve">over the next three years if we upgrade our datacenter from “Tier I” to “Tier III”.  </w:t>
      </w:r>
      <w:r>
        <w:rPr>
          <w:rFonts w:ascii="Times New Roman" w:hAnsi="Times New Roman" w:cs="Times New Roman"/>
          <w:sz w:val="24"/>
          <w:szCs w:val="24"/>
        </w:rPr>
        <w:t xml:space="preserve">A Tier III datacenter has redundant components, which would increase our availability to 99.98%. by increasing our availability by 0.31%, we could save $48 million over 3 years. </w:t>
      </w:r>
    </w:p>
    <w:p w14:paraId="0CCDDAD3" w14:textId="2CF76FB5" w:rsidR="000A0E0D" w:rsidRDefault="008C6580" w:rsidP="000A0E0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Our current “Tier I” datacenter has a 99.67% availability. Upgrading to a “Tier III” would result in a 99.98% availability. Because the </w:t>
      </w:r>
      <w:r w:rsidR="000A0E0D">
        <w:rPr>
          <w:rFonts w:ascii="Times New Roman" w:hAnsi="Times New Roman" w:cs="Times New Roman"/>
          <w:sz w:val="24"/>
          <w:szCs w:val="24"/>
        </w:rPr>
        <w:t>“</w:t>
      </w:r>
      <w:r w:rsidR="000A0E0D">
        <w:rPr>
          <w:rFonts w:ascii="Times New Roman" w:hAnsi="Times New Roman" w:cs="Times New Roman" w:hint="eastAsia"/>
          <w:sz w:val="24"/>
          <w:szCs w:val="24"/>
        </w:rPr>
        <w:t>Tier</w:t>
      </w:r>
      <w:r w:rsidR="000A0E0D">
        <w:rPr>
          <w:rFonts w:ascii="Times New Roman" w:hAnsi="Times New Roman" w:cs="Times New Roman"/>
          <w:sz w:val="24"/>
          <w:szCs w:val="24"/>
        </w:rPr>
        <w:t xml:space="preserve"> </w:t>
      </w:r>
      <w:r w:rsidR="000A0E0D">
        <w:rPr>
          <w:rFonts w:ascii="Times New Roman" w:hAnsi="Times New Roman" w:cs="Times New Roman" w:hint="eastAsia"/>
          <w:sz w:val="24"/>
          <w:szCs w:val="24"/>
        </w:rPr>
        <w:t>III</w:t>
      </w:r>
      <w:r w:rsidR="000A0E0D">
        <w:rPr>
          <w:rFonts w:ascii="Times New Roman" w:hAnsi="Times New Roman" w:cs="Times New Roman"/>
          <w:sz w:val="24"/>
          <w:szCs w:val="24"/>
        </w:rPr>
        <w:t>”</w:t>
      </w:r>
      <w:r w:rsidR="000A0E0D" w:rsidRPr="001C59AB">
        <w:rPr>
          <w:rFonts w:ascii="Times New Roman" w:hAnsi="Times New Roman" w:cs="Times New Roman"/>
          <w:sz w:val="24"/>
          <w:szCs w:val="24"/>
        </w:rPr>
        <w:t xml:space="preserve"> </w:t>
      </w:r>
      <w:r w:rsidR="000A0E0D">
        <w:rPr>
          <w:rFonts w:ascii="Times New Roman" w:hAnsi="Times New Roman" w:cs="Times New Roman"/>
          <w:sz w:val="24"/>
          <w:szCs w:val="24"/>
        </w:rPr>
        <w:t>is a datacenter which has redundant components and multiple distribution paths serving the computer equipment. One of distribution paths serves the computer equipment at any time. The physical site is concurrently maintainable which means every component and distribution can be repaired and replaced on a planned basis without disturbing the datacenter. This function protects our datacenter against most physical events. Compared with the “Tier I” datacenter, the “Tier III” has significant advantages in reducing the risks of outage and unexpected loss caused by outages.</w:t>
      </w:r>
    </w:p>
    <w:p w14:paraId="50509A75" w14:textId="78FB756A" w:rsidR="000A0E0D" w:rsidRDefault="000A0E0D" w:rsidP="000A0E0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“Tier III” has 0.31% higher availability than the “Tier I” datacenter, which means the “Tier III” has 1629.36 minutes in downtime less than the “Tier I” per year. Considering our company’s downtime cost is $14,800 per minutes, we will save more than $24 million each year. If our company invests $35 million and spends one year to install equipment, then the second year our company will benefit from the upgrade. By the end of the third year, our company will have $13 million in profit and </w:t>
      </w:r>
      <w:r w:rsidR="008C6580">
        <w:rPr>
          <w:rFonts w:ascii="Times New Roman" w:hAnsi="Times New Roman" w:cs="Times New Roman"/>
          <w:sz w:val="24"/>
          <w:szCs w:val="24"/>
        </w:rPr>
        <w:t xml:space="preserve">will have </w:t>
      </w:r>
      <w:bookmarkStart w:id="0" w:name="_GoBack"/>
      <w:bookmarkEnd w:id="0"/>
      <w:r>
        <w:rPr>
          <w:rFonts w:ascii="Times New Roman" w:hAnsi="Times New Roman" w:cs="Times New Roman"/>
          <w:sz w:val="24"/>
          <w:szCs w:val="24"/>
        </w:rPr>
        <w:t>saved $48 million.</w:t>
      </w:r>
    </w:p>
    <w:p w14:paraId="3F42511F" w14:textId="77777777" w:rsidR="000A0E0D" w:rsidRDefault="000A0E0D" w:rsidP="000A0E0D">
      <w:pPr>
        <w:spacing w:line="360" w:lineRule="auto"/>
        <w:ind w:firstLine="720"/>
        <w:rPr>
          <w:rFonts w:ascii="Times New Roman" w:hAnsi="Times New Roman" w:cs="Times New Roman"/>
          <w:sz w:val="24"/>
          <w:szCs w:val="24"/>
        </w:rPr>
      </w:pPr>
    </w:p>
    <w:p w14:paraId="6E2EEB33" w14:textId="77777777" w:rsidR="000A0E0D" w:rsidRDefault="000A0E0D" w:rsidP="000A0E0D">
      <w:pPr>
        <w:spacing w:line="360" w:lineRule="auto"/>
        <w:ind w:firstLine="720"/>
        <w:rPr>
          <w:rFonts w:ascii="Times New Roman" w:hAnsi="Times New Roman" w:cs="Times New Roman"/>
          <w:sz w:val="24"/>
          <w:szCs w:val="24"/>
        </w:rPr>
      </w:pPr>
    </w:p>
    <w:p w14:paraId="1901F4AC" w14:textId="77777777" w:rsidR="000A0E0D" w:rsidRDefault="000A0E0D" w:rsidP="000A0E0D">
      <w:pPr>
        <w:spacing w:line="360" w:lineRule="auto"/>
        <w:ind w:firstLine="720"/>
        <w:rPr>
          <w:rFonts w:ascii="Times New Roman" w:hAnsi="Times New Roman" w:cs="Times New Roman"/>
          <w:sz w:val="24"/>
          <w:szCs w:val="24"/>
        </w:rPr>
      </w:pPr>
    </w:p>
    <w:p w14:paraId="7B1428BF" w14:textId="77777777" w:rsidR="000A0E0D" w:rsidRDefault="000A0E0D" w:rsidP="000A0E0D">
      <w:pPr>
        <w:spacing w:line="360" w:lineRule="auto"/>
        <w:ind w:firstLine="720"/>
        <w:rPr>
          <w:rFonts w:ascii="Times New Roman" w:hAnsi="Times New Roman" w:cs="Times New Roman"/>
          <w:sz w:val="24"/>
          <w:szCs w:val="24"/>
        </w:rPr>
      </w:pPr>
    </w:p>
    <w:p w14:paraId="4F6C256A" w14:textId="77777777" w:rsidR="000A0E0D" w:rsidRDefault="000A0E0D" w:rsidP="000A0E0D">
      <w:pPr>
        <w:spacing w:line="360" w:lineRule="auto"/>
        <w:ind w:firstLine="720"/>
        <w:rPr>
          <w:rFonts w:ascii="Times New Roman" w:hAnsi="Times New Roman" w:cs="Times New Roman"/>
          <w:sz w:val="24"/>
          <w:szCs w:val="24"/>
        </w:rPr>
      </w:pPr>
    </w:p>
    <w:p w14:paraId="02E4416F" w14:textId="77777777" w:rsidR="000A0E0D" w:rsidRDefault="000A0E0D" w:rsidP="000A0E0D">
      <w:pPr>
        <w:spacing w:line="360" w:lineRule="auto"/>
        <w:ind w:firstLine="720"/>
        <w:rPr>
          <w:rFonts w:ascii="Times New Roman" w:hAnsi="Times New Roman" w:cs="Times New Roman"/>
          <w:sz w:val="24"/>
          <w:szCs w:val="24"/>
        </w:rPr>
      </w:pPr>
    </w:p>
    <w:p w14:paraId="09AEDE59" w14:textId="77777777" w:rsidR="000A0E0D" w:rsidRDefault="000A0E0D" w:rsidP="000A0E0D">
      <w:pPr>
        <w:spacing w:line="36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7"/>
        <w:gridCol w:w="2157"/>
        <w:gridCol w:w="2158"/>
        <w:gridCol w:w="2158"/>
      </w:tblGrid>
      <w:tr w:rsidR="000A0E0D" w14:paraId="5FCD60D4" w14:textId="77777777" w:rsidTr="002E4D48">
        <w:tc>
          <w:tcPr>
            <w:tcW w:w="2157" w:type="dxa"/>
            <w:vAlign w:val="bottom"/>
          </w:tcPr>
          <w:p w14:paraId="1494B775" w14:textId="77777777" w:rsidR="000A0E0D" w:rsidRDefault="000A0E0D" w:rsidP="002E4D48">
            <w:pPr>
              <w:jc w:val="right"/>
            </w:pPr>
          </w:p>
        </w:tc>
        <w:tc>
          <w:tcPr>
            <w:tcW w:w="2157" w:type="dxa"/>
            <w:vAlign w:val="bottom"/>
          </w:tcPr>
          <w:p w14:paraId="284EB3AD" w14:textId="77777777" w:rsidR="000A0E0D" w:rsidRDefault="000A0E0D" w:rsidP="002E4D48">
            <w:pPr>
              <w:jc w:val="right"/>
              <w:rPr>
                <w:rFonts w:ascii="Calibri" w:hAnsi="Calibri"/>
                <w:color w:val="000000"/>
              </w:rPr>
            </w:pPr>
            <w:r>
              <w:rPr>
                <w:rFonts w:ascii="Calibri" w:hAnsi="Calibri"/>
                <w:color w:val="000000"/>
              </w:rPr>
              <w:t>% of availability</w:t>
            </w:r>
          </w:p>
        </w:tc>
        <w:tc>
          <w:tcPr>
            <w:tcW w:w="2158" w:type="dxa"/>
            <w:vAlign w:val="bottom"/>
          </w:tcPr>
          <w:p w14:paraId="6E4FB692" w14:textId="77777777" w:rsidR="000A0E0D" w:rsidRDefault="000A0E0D" w:rsidP="002E4D48">
            <w:pPr>
              <w:jc w:val="right"/>
              <w:rPr>
                <w:rFonts w:ascii="Calibri" w:hAnsi="Calibri"/>
                <w:color w:val="000000"/>
              </w:rPr>
            </w:pPr>
            <w:r>
              <w:rPr>
                <w:rFonts w:ascii="Calibri" w:hAnsi="Calibri"/>
                <w:color w:val="000000"/>
              </w:rPr>
              <w:t>downtime per year(min)</w:t>
            </w:r>
          </w:p>
        </w:tc>
        <w:tc>
          <w:tcPr>
            <w:tcW w:w="2158" w:type="dxa"/>
            <w:vAlign w:val="bottom"/>
          </w:tcPr>
          <w:p w14:paraId="031BE283" w14:textId="77777777" w:rsidR="000A0E0D" w:rsidRDefault="000A0E0D" w:rsidP="002E4D48">
            <w:pPr>
              <w:jc w:val="right"/>
              <w:rPr>
                <w:rFonts w:ascii="Calibri" w:hAnsi="Calibri"/>
                <w:color w:val="000000"/>
              </w:rPr>
            </w:pPr>
            <w:r>
              <w:rPr>
                <w:rFonts w:ascii="Calibri" w:hAnsi="Calibri"/>
                <w:color w:val="000000"/>
              </w:rPr>
              <w:t>$ cost/year</w:t>
            </w:r>
          </w:p>
        </w:tc>
      </w:tr>
      <w:tr w:rsidR="000A0E0D" w14:paraId="7348C9C4" w14:textId="77777777" w:rsidTr="002E4D48">
        <w:tc>
          <w:tcPr>
            <w:tcW w:w="2157" w:type="dxa"/>
            <w:vAlign w:val="bottom"/>
          </w:tcPr>
          <w:p w14:paraId="6508896C" w14:textId="77777777" w:rsidR="000A0E0D" w:rsidRDefault="000A0E0D" w:rsidP="002E4D48">
            <w:pPr>
              <w:jc w:val="right"/>
              <w:rPr>
                <w:rFonts w:ascii="Calibri" w:hAnsi="Calibri"/>
                <w:color w:val="000000"/>
              </w:rPr>
            </w:pPr>
            <w:r>
              <w:rPr>
                <w:rFonts w:ascii="Calibri" w:hAnsi="Calibri"/>
                <w:color w:val="000000"/>
              </w:rPr>
              <w:t>Tier I</w:t>
            </w:r>
          </w:p>
        </w:tc>
        <w:tc>
          <w:tcPr>
            <w:tcW w:w="2157" w:type="dxa"/>
            <w:vAlign w:val="bottom"/>
          </w:tcPr>
          <w:p w14:paraId="138CCE00" w14:textId="77777777" w:rsidR="000A0E0D" w:rsidRDefault="000A0E0D" w:rsidP="002E4D48">
            <w:pPr>
              <w:jc w:val="right"/>
              <w:rPr>
                <w:rFonts w:ascii="Calibri" w:hAnsi="Calibri"/>
                <w:color w:val="000000"/>
              </w:rPr>
            </w:pPr>
            <w:r>
              <w:rPr>
                <w:rFonts w:ascii="Calibri" w:hAnsi="Calibri"/>
                <w:color w:val="000000"/>
              </w:rPr>
              <w:t>99.67%</w:t>
            </w:r>
          </w:p>
        </w:tc>
        <w:tc>
          <w:tcPr>
            <w:tcW w:w="2158" w:type="dxa"/>
            <w:vAlign w:val="bottom"/>
          </w:tcPr>
          <w:p w14:paraId="1BC7A0B5" w14:textId="77777777" w:rsidR="000A0E0D" w:rsidRDefault="000A0E0D" w:rsidP="002E4D48">
            <w:pPr>
              <w:jc w:val="right"/>
              <w:rPr>
                <w:rFonts w:ascii="Calibri" w:hAnsi="Calibri"/>
                <w:color w:val="000000"/>
              </w:rPr>
            </w:pPr>
            <w:r>
              <w:rPr>
                <w:rFonts w:ascii="Calibri" w:hAnsi="Calibri"/>
                <w:color w:val="000000"/>
              </w:rPr>
              <w:t xml:space="preserve">                                  1,734.48 </w:t>
            </w:r>
          </w:p>
        </w:tc>
        <w:tc>
          <w:tcPr>
            <w:tcW w:w="2158" w:type="dxa"/>
            <w:vAlign w:val="bottom"/>
          </w:tcPr>
          <w:p w14:paraId="546CF6E6" w14:textId="77777777" w:rsidR="000A0E0D" w:rsidRDefault="000A0E0D" w:rsidP="002E4D48">
            <w:pPr>
              <w:jc w:val="right"/>
              <w:rPr>
                <w:rFonts w:ascii="Calibri" w:hAnsi="Calibri"/>
                <w:color w:val="000000"/>
              </w:rPr>
            </w:pPr>
            <w:r>
              <w:rPr>
                <w:rFonts w:ascii="Calibri" w:hAnsi="Calibri"/>
                <w:color w:val="000000"/>
              </w:rPr>
              <w:t xml:space="preserve">   25,670,304.00 </w:t>
            </w:r>
          </w:p>
        </w:tc>
      </w:tr>
      <w:tr w:rsidR="000A0E0D" w14:paraId="6754E0B8" w14:textId="77777777" w:rsidTr="002E4D48">
        <w:tc>
          <w:tcPr>
            <w:tcW w:w="2157" w:type="dxa"/>
            <w:vAlign w:val="bottom"/>
          </w:tcPr>
          <w:p w14:paraId="4A7159D7" w14:textId="77777777" w:rsidR="000A0E0D" w:rsidRDefault="000A0E0D" w:rsidP="002E4D48">
            <w:pPr>
              <w:jc w:val="right"/>
              <w:rPr>
                <w:rFonts w:ascii="Calibri" w:hAnsi="Calibri"/>
                <w:color w:val="000000"/>
              </w:rPr>
            </w:pPr>
            <w:r>
              <w:rPr>
                <w:rFonts w:ascii="Calibri" w:hAnsi="Calibri"/>
                <w:color w:val="000000"/>
              </w:rPr>
              <w:t>Tier III</w:t>
            </w:r>
          </w:p>
        </w:tc>
        <w:tc>
          <w:tcPr>
            <w:tcW w:w="2157" w:type="dxa"/>
            <w:vAlign w:val="bottom"/>
          </w:tcPr>
          <w:p w14:paraId="79906DD6" w14:textId="77777777" w:rsidR="000A0E0D" w:rsidRDefault="000A0E0D" w:rsidP="002E4D48">
            <w:pPr>
              <w:jc w:val="right"/>
              <w:rPr>
                <w:rFonts w:ascii="Calibri" w:hAnsi="Calibri"/>
                <w:color w:val="000000"/>
              </w:rPr>
            </w:pPr>
            <w:r>
              <w:rPr>
                <w:rFonts w:ascii="Calibri" w:hAnsi="Calibri"/>
                <w:color w:val="000000"/>
              </w:rPr>
              <w:t>99.98%</w:t>
            </w:r>
          </w:p>
        </w:tc>
        <w:tc>
          <w:tcPr>
            <w:tcW w:w="2158" w:type="dxa"/>
            <w:vAlign w:val="bottom"/>
          </w:tcPr>
          <w:p w14:paraId="34D297B0" w14:textId="77777777" w:rsidR="000A0E0D" w:rsidRDefault="000A0E0D" w:rsidP="002E4D48">
            <w:pPr>
              <w:jc w:val="right"/>
              <w:rPr>
                <w:rFonts w:ascii="Calibri" w:hAnsi="Calibri"/>
                <w:color w:val="000000"/>
              </w:rPr>
            </w:pPr>
            <w:r>
              <w:rPr>
                <w:rFonts w:ascii="Calibri" w:hAnsi="Calibri"/>
                <w:color w:val="000000"/>
              </w:rPr>
              <w:t>105.12</w:t>
            </w:r>
          </w:p>
        </w:tc>
        <w:tc>
          <w:tcPr>
            <w:tcW w:w="2158" w:type="dxa"/>
            <w:vAlign w:val="bottom"/>
          </w:tcPr>
          <w:p w14:paraId="0E1218FA" w14:textId="77777777" w:rsidR="000A0E0D" w:rsidRDefault="000A0E0D" w:rsidP="002E4D48">
            <w:pPr>
              <w:jc w:val="right"/>
              <w:rPr>
                <w:rFonts w:ascii="Calibri" w:hAnsi="Calibri"/>
                <w:color w:val="000000"/>
              </w:rPr>
            </w:pPr>
            <w:r>
              <w:rPr>
                <w:rFonts w:ascii="Calibri" w:hAnsi="Calibri"/>
                <w:color w:val="000000"/>
              </w:rPr>
              <w:t xml:space="preserve">     1,555,776.00 </w:t>
            </w:r>
          </w:p>
        </w:tc>
      </w:tr>
      <w:tr w:rsidR="000A0E0D" w14:paraId="0865C87B" w14:textId="77777777" w:rsidTr="002E4D48">
        <w:tc>
          <w:tcPr>
            <w:tcW w:w="2157" w:type="dxa"/>
            <w:vAlign w:val="bottom"/>
          </w:tcPr>
          <w:p w14:paraId="3E3DF1FF" w14:textId="77777777" w:rsidR="000A0E0D" w:rsidRDefault="000A0E0D" w:rsidP="002E4D48">
            <w:pPr>
              <w:jc w:val="right"/>
              <w:rPr>
                <w:rFonts w:ascii="Calibri" w:hAnsi="Calibri"/>
                <w:color w:val="000000"/>
              </w:rPr>
            </w:pPr>
          </w:p>
        </w:tc>
        <w:tc>
          <w:tcPr>
            <w:tcW w:w="2157" w:type="dxa"/>
            <w:vAlign w:val="bottom"/>
          </w:tcPr>
          <w:p w14:paraId="6979A6D7" w14:textId="77777777" w:rsidR="000A0E0D" w:rsidRDefault="000A0E0D" w:rsidP="002E4D48">
            <w:pPr>
              <w:jc w:val="right"/>
              <w:rPr>
                <w:sz w:val="20"/>
                <w:szCs w:val="20"/>
              </w:rPr>
            </w:pPr>
          </w:p>
        </w:tc>
        <w:tc>
          <w:tcPr>
            <w:tcW w:w="2158" w:type="dxa"/>
            <w:vAlign w:val="bottom"/>
          </w:tcPr>
          <w:p w14:paraId="7B0272D3" w14:textId="77777777" w:rsidR="000A0E0D" w:rsidRDefault="000A0E0D" w:rsidP="002E4D48">
            <w:pPr>
              <w:jc w:val="right"/>
              <w:rPr>
                <w:rFonts w:ascii="Calibri" w:hAnsi="Calibri"/>
                <w:color w:val="000000"/>
              </w:rPr>
            </w:pPr>
            <w:r>
              <w:rPr>
                <w:rFonts w:ascii="Calibri" w:hAnsi="Calibri"/>
                <w:color w:val="000000"/>
              </w:rPr>
              <w:t>$ save/year</w:t>
            </w:r>
          </w:p>
        </w:tc>
        <w:tc>
          <w:tcPr>
            <w:tcW w:w="2158" w:type="dxa"/>
            <w:vAlign w:val="bottom"/>
          </w:tcPr>
          <w:p w14:paraId="27FBF7FF" w14:textId="77777777" w:rsidR="000A0E0D" w:rsidRDefault="000A0E0D" w:rsidP="002E4D48">
            <w:pPr>
              <w:jc w:val="right"/>
              <w:rPr>
                <w:rFonts w:ascii="Calibri" w:hAnsi="Calibri"/>
                <w:color w:val="000000"/>
              </w:rPr>
            </w:pPr>
            <w:r>
              <w:rPr>
                <w:rFonts w:ascii="Calibri" w:hAnsi="Calibri"/>
                <w:color w:val="000000"/>
              </w:rPr>
              <w:t xml:space="preserve">   24,114,528.00 </w:t>
            </w:r>
          </w:p>
        </w:tc>
      </w:tr>
    </w:tbl>
    <w:p w14:paraId="43C8DE2A" w14:textId="77777777" w:rsidR="000A0E0D" w:rsidRDefault="000A0E0D" w:rsidP="000A0E0D">
      <w:pPr>
        <w:spacing w:line="360" w:lineRule="auto"/>
        <w:ind w:firstLine="720"/>
        <w:rPr>
          <w:rFonts w:ascii="Times New Roman" w:hAnsi="Times New Roman" w:cs="Times New Roman"/>
          <w:sz w:val="24"/>
          <w:szCs w:val="24"/>
        </w:rPr>
      </w:pPr>
    </w:p>
    <w:tbl>
      <w:tblPr>
        <w:tblStyle w:val="TableGrid"/>
        <w:tblW w:w="0" w:type="auto"/>
        <w:jc w:val="right"/>
        <w:tblLook w:val="04A0" w:firstRow="1" w:lastRow="0" w:firstColumn="1" w:lastColumn="0" w:noHBand="0" w:noVBand="1"/>
      </w:tblPr>
      <w:tblGrid>
        <w:gridCol w:w="1726"/>
        <w:gridCol w:w="1726"/>
        <w:gridCol w:w="1726"/>
        <w:gridCol w:w="1726"/>
        <w:gridCol w:w="1726"/>
      </w:tblGrid>
      <w:tr w:rsidR="000A0E0D" w14:paraId="6EE7E961" w14:textId="77777777" w:rsidTr="002E4D48">
        <w:trPr>
          <w:jc w:val="right"/>
        </w:trPr>
        <w:tc>
          <w:tcPr>
            <w:tcW w:w="1726" w:type="dxa"/>
            <w:vAlign w:val="bottom"/>
          </w:tcPr>
          <w:p w14:paraId="0BFFD60A" w14:textId="77777777" w:rsidR="000A0E0D" w:rsidRDefault="000A0E0D" w:rsidP="002E4D48">
            <w:pPr>
              <w:jc w:val="right"/>
            </w:pPr>
          </w:p>
        </w:tc>
        <w:tc>
          <w:tcPr>
            <w:tcW w:w="1726" w:type="dxa"/>
            <w:vAlign w:val="bottom"/>
          </w:tcPr>
          <w:p w14:paraId="70C2FCDF" w14:textId="77777777" w:rsidR="000A0E0D" w:rsidRDefault="000A0E0D" w:rsidP="002E4D48">
            <w:pPr>
              <w:jc w:val="right"/>
              <w:rPr>
                <w:rFonts w:ascii="Calibri" w:hAnsi="Calibri"/>
                <w:color w:val="000000"/>
              </w:rPr>
            </w:pPr>
            <w:r>
              <w:rPr>
                <w:rFonts w:ascii="Calibri" w:hAnsi="Calibri"/>
                <w:color w:val="000000"/>
              </w:rPr>
              <w:t>Year 1</w:t>
            </w:r>
          </w:p>
        </w:tc>
        <w:tc>
          <w:tcPr>
            <w:tcW w:w="1726" w:type="dxa"/>
            <w:vAlign w:val="bottom"/>
          </w:tcPr>
          <w:p w14:paraId="036BDC8B" w14:textId="77777777" w:rsidR="000A0E0D" w:rsidRDefault="000A0E0D" w:rsidP="002E4D48">
            <w:pPr>
              <w:jc w:val="right"/>
              <w:rPr>
                <w:rFonts w:ascii="Calibri" w:hAnsi="Calibri"/>
                <w:color w:val="000000"/>
              </w:rPr>
            </w:pPr>
            <w:r>
              <w:rPr>
                <w:rFonts w:ascii="Calibri" w:hAnsi="Calibri"/>
                <w:color w:val="000000"/>
              </w:rPr>
              <w:t>Year 2</w:t>
            </w:r>
          </w:p>
        </w:tc>
        <w:tc>
          <w:tcPr>
            <w:tcW w:w="1726" w:type="dxa"/>
            <w:vAlign w:val="bottom"/>
          </w:tcPr>
          <w:p w14:paraId="5BF878C4" w14:textId="77777777" w:rsidR="000A0E0D" w:rsidRDefault="000A0E0D" w:rsidP="002E4D48">
            <w:pPr>
              <w:jc w:val="right"/>
              <w:rPr>
                <w:rFonts w:ascii="Calibri" w:hAnsi="Calibri"/>
                <w:color w:val="000000"/>
              </w:rPr>
            </w:pPr>
            <w:r>
              <w:rPr>
                <w:rFonts w:ascii="Calibri" w:hAnsi="Calibri"/>
                <w:color w:val="000000"/>
              </w:rPr>
              <w:t>Year 3</w:t>
            </w:r>
          </w:p>
        </w:tc>
        <w:tc>
          <w:tcPr>
            <w:tcW w:w="1726" w:type="dxa"/>
            <w:vAlign w:val="bottom"/>
          </w:tcPr>
          <w:p w14:paraId="663DE0DA" w14:textId="77777777" w:rsidR="000A0E0D" w:rsidRDefault="000A0E0D" w:rsidP="002E4D48">
            <w:pPr>
              <w:jc w:val="right"/>
              <w:rPr>
                <w:rFonts w:ascii="Calibri" w:hAnsi="Calibri"/>
                <w:color w:val="000000"/>
              </w:rPr>
            </w:pPr>
            <w:r>
              <w:rPr>
                <w:rFonts w:ascii="Calibri" w:hAnsi="Calibri"/>
                <w:color w:val="000000"/>
              </w:rPr>
              <w:t>total</w:t>
            </w:r>
          </w:p>
        </w:tc>
      </w:tr>
      <w:tr w:rsidR="000A0E0D" w14:paraId="76F03F14" w14:textId="77777777" w:rsidTr="002E4D48">
        <w:trPr>
          <w:jc w:val="right"/>
        </w:trPr>
        <w:tc>
          <w:tcPr>
            <w:tcW w:w="1726" w:type="dxa"/>
            <w:vAlign w:val="bottom"/>
          </w:tcPr>
          <w:p w14:paraId="51F11471" w14:textId="77777777" w:rsidR="000A0E0D" w:rsidRDefault="000A0E0D" w:rsidP="002E4D48">
            <w:pPr>
              <w:jc w:val="right"/>
              <w:rPr>
                <w:rFonts w:ascii="Calibri" w:hAnsi="Calibri"/>
                <w:color w:val="000000"/>
              </w:rPr>
            </w:pPr>
            <w:r>
              <w:rPr>
                <w:rFonts w:ascii="Calibri" w:hAnsi="Calibri"/>
                <w:color w:val="000000"/>
              </w:rPr>
              <w:t>Invest</w:t>
            </w:r>
          </w:p>
        </w:tc>
        <w:tc>
          <w:tcPr>
            <w:tcW w:w="1726" w:type="dxa"/>
            <w:vAlign w:val="bottom"/>
          </w:tcPr>
          <w:p w14:paraId="28AA039A" w14:textId="77777777" w:rsidR="000A0E0D" w:rsidRDefault="000A0E0D" w:rsidP="002E4D48">
            <w:pPr>
              <w:jc w:val="right"/>
              <w:rPr>
                <w:rFonts w:ascii="Calibri" w:hAnsi="Calibri"/>
                <w:color w:val="000000"/>
              </w:rPr>
            </w:pPr>
            <w:r>
              <w:rPr>
                <w:rFonts w:ascii="Calibri" w:hAnsi="Calibri"/>
                <w:color w:val="000000"/>
              </w:rPr>
              <w:t xml:space="preserve">             35,000,000.00 </w:t>
            </w:r>
          </w:p>
        </w:tc>
        <w:tc>
          <w:tcPr>
            <w:tcW w:w="1726" w:type="dxa"/>
            <w:vAlign w:val="bottom"/>
          </w:tcPr>
          <w:p w14:paraId="1D58E88A" w14:textId="77777777" w:rsidR="000A0E0D" w:rsidRDefault="000A0E0D" w:rsidP="002E4D48">
            <w:pPr>
              <w:jc w:val="right"/>
              <w:rPr>
                <w:rFonts w:ascii="Calibri" w:hAnsi="Calibri"/>
                <w:color w:val="000000"/>
              </w:rPr>
            </w:pPr>
            <w:r>
              <w:rPr>
                <w:rFonts w:ascii="Calibri" w:hAnsi="Calibri"/>
                <w:color w:val="000000"/>
              </w:rPr>
              <w:t>0</w:t>
            </w:r>
          </w:p>
        </w:tc>
        <w:tc>
          <w:tcPr>
            <w:tcW w:w="1726" w:type="dxa"/>
            <w:vAlign w:val="bottom"/>
          </w:tcPr>
          <w:p w14:paraId="76DDB572" w14:textId="77777777" w:rsidR="000A0E0D" w:rsidRDefault="000A0E0D" w:rsidP="002E4D48">
            <w:pPr>
              <w:jc w:val="right"/>
              <w:rPr>
                <w:rFonts w:ascii="Calibri" w:hAnsi="Calibri"/>
                <w:color w:val="000000"/>
              </w:rPr>
            </w:pPr>
            <w:r>
              <w:rPr>
                <w:rFonts w:ascii="Calibri" w:hAnsi="Calibri"/>
                <w:color w:val="000000"/>
              </w:rPr>
              <w:t>0</w:t>
            </w:r>
          </w:p>
        </w:tc>
        <w:tc>
          <w:tcPr>
            <w:tcW w:w="1726" w:type="dxa"/>
            <w:vAlign w:val="bottom"/>
          </w:tcPr>
          <w:p w14:paraId="3286C2E9" w14:textId="77777777" w:rsidR="000A0E0D" w:rsidRDefault="000A0E0D" w:rsidP="002E4D48">
            <w:pPr>
              <w:jc w:val="right"/>
              <w:rPr>
                <w:rFonts w:ascii="Calibri" w:hAnsi="Calibri"/>
                <w:color w:val="000000"/>
              </w:rPr>
            </w:pPr>
            <w:r>
              <w:rPr>
                <w:rFonts w:ascii="Calibri" w:hAnsi="Calibri"/>
                <w:color w:val="000000"/>
              </w:rPr>
              <w:t xml:space="preserve">   35,000,000.00 </w:t>
            </w:r>
          </w:p>
        </w:tc>
      </w:tr>
      <w:tr w:rsidR="000A0E0D" w14:paraId="2BADE288" w14:textId="77777777" w:rsidTr="002E4D48">
        <w:trPr>
          <w:jc w:val="right"/>
        </w:trPr>
        <w:tc>
          <w:tcPr>
            <w:tcW w:w="1726" w:type="dxa"/>
            <w:vAlign w:val="bottom"/>
          </w:tcPr>
          <w:p w14:paraId="79B0EBAE" w14:textId="77777777" w:rsidR="000A0E0D" w:rsidRDefault="000A0E0D" w:rsidP="002E4D48">
            <w:pPr>
              <w:jc w:val="right"/>
              <w:rPr>
                <w:rFonts w:ascii="Calibri" w:hAnsi="Calibri"/>
                <w:color w:val="000000"/>
              </w:rPr>
            </w:pPr>
            <w:r>
              <w:rPr>
                <w:rFonts w:ascii="Calibri" w:hAnsi="Calibri"/>
                <w:color w:val="000000"/>
              </w:rPr>
              <w:t>Benefit</w:t>
            </w:r>
          </w:p>
        </w:tc>
        <w:tc>
          <w:tcPr>
            <w:tcW w:w="1726" w:type="dxa"/>
            <w:vAlign w:val="bottom"/>
          </w:tcPr>
          <w:p w14:paraId="134E7783" w14:textId="77777777" w:rsidR="000A0E0D" w:rsidRDefault="000A0E0D" w:rsidP="002E4D48">
            <w:pPr>
              <w:jc w:val="right"/>
              <w:rPr>
                <w:rFonts w:ascii="Calibri" w:hAnsi="Calibri"/>
                <w:color w:val="000000"/>
              </w:rPr>
            </w:pPr>
            <w:r>
              <w:rPr>
                <w:rFonts w:ascii="Calibri" w:hAnsi="Calibri"/>
                <w:color w:val="000000"/>
              </w:rPr>
              <w:t>0</w:t>
            </w:r>
          </w:p>
        </w:tc>
        <w:tc>
          <w:tcPr>
            <w:tcW w:w="1726" w:type="dxa"/>
            <w:vAlign w:val="bottom"/>
          </w:tcPr>
          <w:p w14:paraId="444B9576" w14:textId="77777777" w:rsidR="000A0E0D" w:rsidRDefault="000A0E0D" w:rsidP="002E4D48">
            <w:pPr>
              <w:jc w:val="right"/>
              <w:rPr>
                <w:rFonts w:ascii="Calibri" w:hAnsi="Calibri"/>
                <w:color w:val="000000"/>
              </w:rPr>
            </w:pPr>
            <w:r>
              <w:rPr>
                <w:rFonts w:ascii="Calibri" w:hAnsi="Calibri"/>
                <w:color w:val="000000"/>
              </w:rPr>
              <w:t xml:space="preserve">                        24,114,528.00 </w:t>
            </w:r>
          </w:p>
        </w:tc>
        <w:tc>
          <w:tcPr>
            <w:tcW w:w="1726" w:type="dxa"/>
            <w:vAlign w:val="bottom"/>
          </w:tcPr>
          <w:p w14:paraId="22B1A48A" w14:textId="77777777" w:rsidR="000A0E0D" w:rsidRDefault="000A0E0D" w:rsidP="002E4D48">
            <w:pPr>
              <w:jc w:val="right"/>
              <w:rPr>
                <w:rFonts w:ascii="Calibri" w:hAnsi="Calibri"/>
                <w:color w:val="000000"/>
              </w:rPr>
            </w:pPr>
            <w:r>
              <w:rPr>
                <w:rFonts w:ascii="Calibri" w:hAnsi="Calibri"/>
                <w:color w:val="000000"/>
              </w:rPr>
              <w:t xml:space="preserve">   24,114,528.00 </w:t>
            </w:r>
          </w:p>
        </w:tc>
        <w:tc>
          <w:tcPr>
            <w:tcW w:w="1726" w:type="dxa"/>
            <w:vAlign w:val="bottom"/>
          </w:tcPr>
          <w:p w14:paraId="1401FF5A" w14:textId="77777777" w:rsidR="000A0E0D" w:rsidRDefault="000A0E0D" w:rsidP="002E4D48">
            <w:pPr>
              <w:jc w:val="right"/>
              <w:rPr>
                <w:rFonts w:ascii="Calibri" w:hAnsi="Calibri"/>
                <w:color w:val="000000"/>
              </w:rPr>
            </w:pPr>
            <w:r>
              <w:rPr>
                <w:rFonts w:ascii="Calibri" w:hAnsi="Calibri"/>
                <w:color w:val="000000"/>
              </w:rPr>
              <w:t xml:space="preserve">   48,229,056.00 </w:t>
            </w:r>
          </w:p>
        </w:tc>
      </w:tr>
      <w:tr w:rsidR="000A0E0D" w14:paraId="00DA4736" w14:textId="77777777" w:rsidTr="002E4D48">
        <w:trPr>
          <w:jc w:val="right"/>
        </w:trPr>
        <w:tc>
          <w:tcPr>
            <w:tcW w:w="1726" w:type="dxa"/>
            <w:vAlign w:val="bottom"/>
          </w:tcPr>
          <w:p w14:paraId="48D85625" w14:textId="77777777" w:rsidR="000A0E0D" w:rsidRDefault="000A0E0D" w:rsidP="002E4D48">
            <w:pPr>
              <w:jc w:val="right"/>
              <w:rPr>
                <w:rFonts w:ascii="Calibri" w:hAnsi="Calibri"/>
                <w:color w:val="000000"/>
              </w:rPr>
            </w:pPr>
          </w:p>
        </w:tc>
        <w:tc>
          <w:tcPr>
            <w:tcW w:w="1726" w:type="dxa"/>
            <w:vAlign w:val="bottom"/>
          </w:tcPr>
          <w:p w14:paraId="2E6DA202" w14:textId="77777777" w:rsidR="000A0E0D" w:rsidRDefault="000A0E0D" w:rsidP="002E4D48">
            <w:pPr>
              <w:jc w:val="right"/>
              <w:rPr>
                <w:sz w:val="20"/>
                <w:szCs w:val="20"/>
              </w:rPr>
            </w:pPr>
          </w:p>
        </w:tc>
        <w:tc>
          <w:tcPr>
            <w:tcW w:w="1726" w:type="dxa"/>
            <w:vAlign w:val="bottom"/>
          </w:tcPr>
          <w:p w14:paraId="3EECF507" w14:textId="77777777" w:rsidR="000A0E0D" w:rsidRDefault="000A0E0D" w:rsidP="002E4D48">
            <w:pPr>
              <w:jc w:val="right"/>
              <w:rPr>
                <w:sz w:val="20"/>
                <w:szCs w:val="20"/>
              </w:rPr>
            </w:pPr>
          </w:p>
        </w:tc>
        <w:tc>
          <w:tcPr>
            <w:tcW w:w="1726" w:type="dxa"/>
            <w:vAlign w:val="bottom"/>
          </w:tcPr>
          <w:p w14:paraId="2380E044" w14:textId="77777777" w:rsidR="000A0E0D" w:rsidRDefault="000A0E0D" w:rsidP="002E4D48">
            <w:pPr>
              <w:jc w:val="right"/>
              <w:rPr>
                <w:rFonts w:ascii="Calibri" w:hAnsi="Calibri"/>
                <w:color w:val="000000"/>
              </w:rPr>
            </w:pPr>
            <w:r>
              <w:rPr>
                <w:rFonts w:ascii="Calibri" w:hAnsi="Calibri"/>
                <w:color w:val="000000"/>
              </w:rPr>
              <w:t>Profit</w:t>
            </w:r>
          </w:p>
        </w:tc>
        <w:tc>
          <w:tcPr>
            <w:tcW w:w="1726" w:type="dxa"/>
            <w:vAlign w:val="bottom"/>
          </w:tcPr>
          <w:p w14:paraId="22285890" w14:textId="77777777" w:rsidR="000A0E0D" w:rsidRDefault="000A0E0D" w:rsidP="002E4D48">
            <w:pPr>
              <w:jc w:val="right"/>
              <w:rPr>
                <w:rFonts w:ascii="Calibri" w:hAnsi="Calibri"/>
                <w:color w:val="000000"/>
              </w:rPr>
            </w:pPr>
            <w:r>
              <w:rPr>
                <w:rFonts w:ascii="Calibri" w:hAnsi="Calibri"/>
                <w:color w:val="000000"/>
              </w:rPr>
              <w:t xml:space="preserve">   13,229,056.00 </w:t>
            </w:r>
          </w:p>
        </w:tc>
      </w:tr>
      <w:tr w:rsidR="000A0E0D" w14:paraId="428BA14A" w14:textId="77777777" w:rsidTr="002E4D48">
        <w:trPr>
          <w:jc w:val="right"/>
        </w:trPr>
        <w:tc>
          <w:tcPr>
            <w:tcW w:w="1726" w:type="dxa"/>
            <w:vAlign w:val="bottom"/>
          </w:tcPr>
          <w:p w14:paraId="50EA8D40" w14:textId="77777777" w:rsidR="000A0E0D" w:rsidRDefault="000A0E0D" w:rsidP="002E4D48">
            <w:pPr>
              <w:jc w:val="right"/>
              <w:rPr>
                <w:rFonts w:ascii="Calibri" w:hAnsi="Calibri"/>
                <w:color w:val="000000"/>
              </w:rPr>
            </w:pPr>
          </w:p>
        </w:tc>
        <w:tc>
          <w:tcPr>
            <w:tcW w:w="1726" w:type="dxa"/>
            <w:vAlign w:val="bottom"/>
          </w:tcPr>
          <w:p w14:paraId="5139B7A7" w14:textId="77777777" w:rsidR="000A0E0D" w:rsidRDefault="000A0E0D" w:rsidP="002E4D48">
            <w:pPr>
              <w:jc w:val="right"/>
              <w:rPr>
                <w:sz w:val="20"/>
                <w:szCs w:val="20"/>
              </w:rPr>
            </w:pPr>
          </w:p>
        </w:tc>
        <w:tc>
          <w:tcPr>
            <w:tcW w:w="1726" w:type="dxa"/>
            <w:vAlign w:val="bottom"/>
          </w:tcPr>
          <w:p w14:paraId="2E475A16" w14:textId="77777777" w:rsidR="000A0E0D" w:rsidRDefault="000A0E0D" w:rsidP="002E4D48">
            <w:pPr>
              <w:jc w:val="right"/>
              <w:rPr>
                <w:sz w:val="20"/>
                <w:szCs w:val="20"/>
              </w:rPr>
            </w:pPr>
          </w:p>
        </w:tc>
        <w:tc>
          <w:tcPr>
            <w:tcW w:w="1726" w:type="dxa"/>
            <w:vAlign w:val="bottom"/>
          </w:tcPr>
          <w:p w14:paraId="0257BE5C" w14:textId="77777777" w:rsidR="000A0E0D" w:rsidRDefault="000A0E0D" w:rsidP="002E4D48">
            <w:pPr>
              <w:jc w:val="right"/>
              <w:rPr>
                <w:rFonts w:ascii="Calibri" w:hAnsi="Calibri"/>
                <w:color w:val="000000"/>
              </w:rPr>
            </w:pPr>
            <w:r>
              <w:rPr>
                <w:rFonts w:ascii="Calibri" w:hAnsi="Calibri"/>
                <w:color w:val="000000"/>
              </w:rPr>
              <w:t>ROI</w:t>
            </w:r>
          </w:p>
        </w:tc>
        <w:tc>
          <w:tcPr>
            <w:tcW w:w="1726" w:type="dxa"/>
            <w:vAlign w:val="bottom"/>
          </w:tcPr>
          <w:p w14:paraId="7B2E8405" w14:textId="77777777" w:rsidR="000A0E0D" w:rsidRDefault="000A0E0D" w:rsidP="002E4D48">
            <w:pPr>
              <w:jc w:val="right"/>
              <w:rPr>
                <w:rFonts w:ascii="Calibri" w:hAnsi="Calibri"/>
                <w:color w:val="000000"/>
              </w:rPr>
            </w:pPr>
            <w:r>
              <w:rPr>
                <w:rFonts w:ascii="Calibri" w:hAnsi="Calibri"/>
                <w:color w:val="000000"/>
              </w:rPr>
              <w:t>37.8%</w:t>
            </w:r>
          </w:p>
        </w:tc>
      </w:tr>
    </w:tbl>
    <w:p w14:paraId="01B76CD4" w14:textId="77777777" w:rsidR="000A0E0D" w:rsidRDefault="000A0E0D" w:rsidP="000A0E0D">
      <w:pPr>
        <w:spacing w:line="360" w:lineRule="auto"/>
        <w:ind w:firstLine="720"/>
        <w:rPr>
          <w:rFonts w:ascii="Times New Roman" w:hAnsi="Times New Roman" w:cs="Times New Roman"/>
          <w:sz w:val="24"/>
          <w:szCs w:val="24"/>
        </w:rPr>
      </w:pPr>
    </w:p>
    <w:p w14:paraId="74D6A56E" w14:textId="77777777" w:rsidR="000A0E0D" w:rsidRDefault="000A0E0D" w:rsidP="000A0E0D">
      <w:pPr>
        <w:pStyle w:val="Heading1"/>
      </w:pPr>
    </w:p>
    <w:p w14:paraId="69955171" w14:textId="77777777" w:rsidR="000A0E0D" w:rsidRDefault="000A0E0D" w:rsidP="000A0E0D"/>
    <w:p w14:paraId="20623CC9" w14:textId="77777777" w:rsidR="000A0E0D" w:rsidRDefault="000A0E0D" w:rsidP="000A0E0D"/>
    <w:p w14:paraId="73C2B199" w14:textId="77777777" w:rsidR="000A0E0D" w:rsidRDefault="000A0E0D" w:rsidP="000A0E0D"/>
    <w:p w14:paraId="0F243ED5" w14:textId="77777777" w:rsidR="000A0E0D" w:rsidRDefault="000A0E0D" w:rsidP="000A0E0D"/>
    <w:p w14:paraId="7C8B3BC8" w14:textId="77777777" w:rsidR="000A0E0D" w:rsidRDefault="000A0E0D" w:rsidP="000A0E0D"/>
    <w:p w14:paraId="04814FA9" w14:textId="77777777" w:rsidR="000A0E0D" w:rsidRDefault="000A0E0D" w:rsidP="000A0E0D"/>
    <w:p w14:paraId="6FD9BE5D" w14:textId="77777777" w:rsidR="000A0E0D" w:rsidRDefault="000A0E0D" w:rsidP="000A0E0D"/>
    <w:p w14:paraId="0F68E9ED" w14:textId="77777777" w:rsidR="000A0E0D" w:rsidRDefault="000A0E0D" w:rsidP="000A0E0D"/>
    <w:p w14:paraId="46E2F18E" w14:textId="77777777" w:rsidR="000A0E0D" w:rsidRDefault="000A0E0D" w:rsidP="000A0E0D"/>
    <w:p w14:paraId="0B59A0DE" w14:textId="77777777" w:rsidR="000A0E0D" w:rsidRDefault="000A0E0D" w:rsidP="000A0E0D"/>
    <w:p w14:paraId="087D14AE" w14:textId="77777777" w:rsidR="000A0E0D" w:rsidRDefault="000A0E0D" w:rsidP="000A0E0D"/>
    <w:p w14:paraId="418F1B3F" w14:textId="77777777" w:rsidR="000A0E0D" w:rsidRDefault="000A0E0D" w:rsidP="000A0E0D">
      <w:pPr>
        <w:tabs>
          <w:tab w:val="left" w:pos="3540"/>
        </w:tabs>
      </w:pPr>
    </w:p>
    <w:p w14:paraId="2A151708" w14:textId="77777777" w:rsidR="000A0E0D" w:rsidRDefault="000A0E0D" w:rsidP="000A0E0D">
      <w:pPr>
        <w:tabs>
          <w:tab w:val="left" w:pos="3540"/>
        </w:tabs>
      </w:pPr>
    </w:p>
    <w:sdt>
      <w:sdtPr>
        <w:rPr>
          <w:rFonts w:asciiTheme="minorHAnsi" w:eastAsiaTheme="minorEastAsia" w:hAnsiTheme="minorHAnsi" w:cstheme="minorBidi"/>
          <w:color w:val="auto"/>
          <w:sz w:val="22"/>
          <w:szCs w:val="22"/>
          <w:lang w:eastAsia="zh-CN"/>
        </w:rPr>
        <w:id w:val="2121952680"/>
        <w:docPartObj>
          <w:docPartGallery w:val="Bibliographies"/>
          <w:docPartUnique/>
        </w:docPartObj>
      </w:sdtPr>
      <w:sdtEndPr>
        <w:rPr>
          <w:b/>
          <w:bCs/>
        </w:rPr>
      </w:sdtEndPr>
      <w:sdtContent>
        <w:p w14:paraId="00CACB30" w14:textId="6325E135" w:rsidR="00ED520F" w:rsidRDefault="00ED520F" w:rsidP="00ED520F">
          <w:pPr>
            <w:pStyle w:val="Heading1"/>
            <w:ind w:left="2880" w:firstLine="720"/>
          </w:pPr>
          <w:r>
            <w:t>Works Cited</w:t>
          </w:r>
        </w:p>
        <w:p w14:paraId="6FCA1073" w14:textId="77777777" w:rsidR="00ED520F" w:rsidRDefault="00ED520F" w:rsidP="00ED520F">
          <w:pPr>
            <w:pStyle w:val="Bibliography"/>
            <w:ind w:left="720" w:hanging="720"/>
            <w:rPr>
              <w:noProof/>
              <w:sz w:val="24"/>
              <w:szCs w:val="24"/>
            </w:rPr>
          </w:pPr>
          <w:r>
            <w:fldChar w:fldCharType="begin"/>
          </w:r>
          <w:r>
            <w:instrText xml:space="preserve"> BIBLIOGRAPHY </w:instrText>
          </w:r>
          <w:r>
            <w:fldChar w:fldCharType="separate"/>
          </w:r>
          <w:r>
            <w:rPr>
              <w:i/>
              <w:iCs/>
              <w:noProof/>
            </w:rPr>
            <w:t>About Data Centers</w:t>
          </w:r>
          <w:r>
            <w:rPr>
              <w:noProof/>
            </w:rPr>
            <w:t>. (2014). Retrieved from TIA-942.ORG: http://www.tia-942.org/content/162/289/About_Data_Centers</w:t>
          </w:r>
        </w:p>
        <w:p w14:paraId="35E600E4" w14:textId="77777777" w:rsidR="00ED520F" w:rsidRDefault="00ED520F" w:rsidP="00ED520F">
          <w:pPr>
            <w:pStyle w:val="Bibliography"/>
            <w:ind w:left="720" w:hanging="720"/>
            <w:rPr>
              <w:noProof/>
            </w:rPr>
          </w:pPr>
          <w:r>
            <w:rPr>
              <w:noProof/>
            </w:rPr>
            <w:t xml:space="preserve">Beal, V. (2017). </w:t>
          </w:r>
          <w:r>
            <w:rPr>
              <w:i/>
              <w:iCs/>
              <w:noProof/>
            </w:rPr>
            <w:t>data center tiers</w:t>
          </w:r>
          <w:r>
            <w:rPr>
              <w:noProof/>
            </w:rPr>
            <w:t>. Retrieved from Webopedia: http://www.webopedia.com/TERM/D/data_center_tiers.html</w:t>
          </w:r>
        </w:p>
        <w:p w14:paraId="53BD0112" w14:textId="77777777" w:rsidR="00ED520F" w:rsidRDefault="00ED520F" w:rsidP="00ED520F">
          <w:pPr>
            <w:pStyle w:val="Bibliography"/>
            <w:ind w:left="720" w:hanging="720"/>
            <w:rPr>
              <w:noProof/>
            </w:rPr>
          </w:pPr>
          <w:r>
            <w:rPr>
              <w:noProof/>
            </w:rPr>
            <w:t xml:space="preserve">I-IV), D. C. (2017). </w:t>
          </w:r>
          <w:r>
            <w:rPr>
              <w:i/>
              <w:iCs/>
              <w:noProof/>
            </w:rPr>
            <w:t>Data Center Standards (Tiers I-IV)</w:t>
          </w:r>
          <w:r>
            <w:rPr>
              <w:noProof/>
            </w:rPr>
            <w:t>. Retrieved from https://www.colocationamerica.com/data-center/tier-standards-overview.htm</w:t>
          </w:r>
        </w:p>
        <w:p w14:paraId="7EE18E2E" w14:textId="47109B62" w:rsidR="00ED520F" w:rsidRDefault="00ED520F" w:rsidP="00ED520F">
          <w:r>
            <w:rPr>
              <w:b/>
              <w:bCs/>
            </w:rPr>
            <w:fldChar w:fldCharType="end"/>
          </w:r>
        </w:p>
      </w:sdtContent>
    </w:sdt>
    <w:p w14:paraId="0E89DC45" w14:textId="21D19841" w:rsidR="0088663A" w:rsidRPr="00ED520F" w:rsidRDefault="008C6580" w:rsidP="00ED520F">
      <w:pPr>
        <w:pStyle w:val="Heading1"/>
      </w:pPr>
    </w:p>
    <w:sectPr w:rsidR="0088663A" w:rsidRPr="00ED520F" w:rsidSect="00367B6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0D"/>
    <w:rsid w:val="000A0E0D"/>
    <w:rsid w:val="00125E7D"/>
    <w:rsid w:val="001B0D9B"/>
    <w:rsid w:val="00337C0F"/>
    <w:rsid w:val="00367B68"/>
    <w:rsid w:val="003A2295"/>
    <w:rsid w:val="004B25FB"/>
    <w:rsid w:val="008C6580"/>
    <w:rsid w:val="009165B3"/>
    <w:rsid w:val="00BD2C7B"/>
    <w:rsid w:val="00ED5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26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E0D"/>
    <w:pPr>
      <w:spacing w:after="160" w:line="259" w:lineRule="auto"/>
    </w:pPr>
    <w:rPr>
      <w:sz w:val="22"/>
      <w:szCs w:val="22"/>
    </w:rPr>
  </w:style>
  <w:style w:type="paragraph" w:styleId="Heading1">
    <w:name w:val="heading 1"/>
    <w:basedOn w:val="Normal"/>
    <w:next w:val="Normal"/>
    <w:link w:val="Heading1Char"/>
    <w:uiPriority w:val="9"/>
    <w:qFormat/>
    <w:rsid w:val="000A0E0D"/>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E0D"/>
    <w:rPr>
      <w:rFonts w:asciiTheme="majorHAnsi" w:eastAsiaTheme="majorEastAsia" w:hAnsiTheme="majorHAnsi" w:cstheme="majorBidi"/>
      <w:color w:val="2E74B5" w:themeColor="accent1" w:themeShade="BF"/>
      <w:sz w:val="32"/>
      <w:szCs w:val="32"/>
      <w:lang w:eastAsia="en-US"/>
    </w:rPr>
  </w:style>
  <w:style w:type="table" w:styleId="TableGrid">
    <w:name w:val="Table Grid"/>
    <w:basedOn w:val="TableNormal"/>
    <w:uiPriority w:val="39"/>
    <w:rsid w:val="000A0E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0A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4637">
      <w:bodyDiv w:val="1"/>
      <w:marLeft w:val="0"/>
      <w:marRight w:val="0"/>
      <w:marTop w:val="0"/>
      <w:marBottom w:val="0"/>
      <w:divBdr>
        <w:top w:val="none" w:sz="0" w:space="0" w:color="auto"/>
        <w:left w:val="none" w:sz="0" w:space="0" w:color="auto"/>
        <w:bottom w:val="none" w:sz="0" w:space="0" w:color="auto"/>
        <w:right w:val="none" w:sz="0" w:space="0" w:color="auto"/>
      </w:divBdr>
    </w:div>
    <w:div w:id="560098693">
      <w:bodyDiv w:val="1"/>
      <w:marLeft w:val="0"/>
      <w:marRight w:val="0"/>
      <w:marTop w:val="0"/>
      <w:marBottom w:val="0"/>
      <w:divBdr>
        <w:top w:val="none" w:sz="0" w:space="0" w:color="auto"/>
        <w:left w:val="none" w:sz="0" w:space="0" w:color="auto"/>
        <w:bottom w:val="none" w:sz="0" w:space="0" w:color="auto"/>
        <w:right w:val="none" w:sz="0" w:space="0" w:color="auto"/>
      </w:divBdr>
    </w:div>
    <w:div w:id="773356756">
      <w:bodyDiv w:val="1"/>
      <w:marLeft w:val="0"/>
      <w:marRight w:val="0"/>
      <w:marTop w:val="0"/>
      <w:marBottom w:val="0"/>
      <w:divBdr>
        <w:top w:val="none" w:sz="0" w:space="0" w:color="auto"/>
        <w:left w:val="none" w:sz="0" w:space="0" w:color="auto"/>
        <w:bottom w:val="none" w:sz="0" w:space="0" w:color="auto"/>
        <w:right w:val="none" w:sz="0" w:space="0" w:color="auto"/>
      </w:divBdr>
    </w:div>
    <w:div w:id="1246693592">
      <w:bodyDiv w:val="1"/>
      <w:marLeft w:val="0"/>
      <w:marRight w:val="0"/>
      <w:marTop w:val="0"/>
      <w:marBottom w:val="0"/>
      <w:divBdr>
        <w:top w:val="none" w:sz="0" w:space="0" w:color="auto"/>
        <w:left w:val="none" w:sz="0" w:space="0" w:color="auto"/>
        <w:bottom w:val="none" w:sz="0" w:space="0" w:color="auto"/>
        <w:right w:val="none" w:sz="0" w:space="0" w:color="auto"/>
      </w:divBdr>
    </w:div>
    <w:div w:id="1432316631">
      <w:bodyDiv w:val="1"/>
      <w:marLeft w:val="0"/>
      <w:marRight w:val="0"/>
      <w:marTop w:val="0"/>
      <w:marBottom w:val="0"/>
      <w:divBdr>
        <w:top w:val="none" w:sz="0" w:space="0" w:color="auto"/>
        <w:left w:val="none" w:sz="0" w:space="0" w:color="auto"/>
        <w:bottom w:val="none" w:sz="0" w:space="0" w:color="auto"/>
        <w:right w:val="none" w:sz="0" w:space="0" w:color="auto"/>
      </w:divBdr>
    </w:div>
    <w:div w:id="1715153446">
      <w:bodyDiv w:val="1"/>
      <w:marLeft w:val="0"/>
      <w:marRight w:val="0"/>
      <w:marTop w:val="0"/>
      <w:marBottom w:val="0"/>
      <w:divBdr>
        <w:top w:val="none" w:sz="0" w:space="0" w:color="auto"/>
        <w:left w:val="none" w:sz="0" w:space="0" w:color="auto"/>
        <w:bottom w:val="none" w:sz="0" w:space="0" w:color="auto"/>
        <w:right w:val="none" w:sz="0" w:space="0" w:color="auto"/>
      </w:divBdr>
    </w:div>
    <w:div w:id="2122410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b:Source>
    <b:Tag>TIA14</b:Tag>
    <b:SourceType>InternetSite</b:SourceType>
    <b:Guid>{A0B6F3E8-9F6D-C240-993C-36CCE4ED35DB}</b:Guid>
    <b:Title>About Data Centers</b:Title>
    <b:Year>2014</b:Year>
    <b:InternetSiteTitle>TIA-942.ORG</b:InternetSiteTitle>
    <b:URL>http://www.tia-942.org/content/162/289/About_Data_Centers</b:URL>
    <b:RefOrder>1</b:RefOrder>
  </b:Source>
  <b:Source>
    <b:Tag>Van17</b:Tag>
    <b:SourceType>InternetSite</b:SourceType>
    <b:Guid>{8ACE57D9-32D1-48A7-AF44-7C73435EA0A2}</b:Guid>
    <b:Author>
      <b:Author>
        <b:NameList>
          <b:Person>
            <b:Last>Beal</b:Last>
            <b:First>Vangie</b:First>
          </b:Person>
        </b:NameList>
      </b:Author>
    </b:Author>
    <b:Title>data center tiers</b:Title>
    <b:InternetSiteTitle>Webopedia</b:InternetSiteTitle>
    <b:Year>2017</b:Year>
    <b:URL> http://www.webopedia.com/TERM/D/data_center_tiers.html</b:URL>
    <b:RefOrder>2</b:RefOrder>
  </b:Source>
  <b:Source>
    <b:Tag>Dat17</b:Tag>
    <b:SourceType>InternetSite</b:SourceType>
    <b:Guid>{E5A354CF-373F-4169-801A-53F87409D1AD}</b:Guid>
    <b:Title>Data Center Standards (Tiers I-IV)</b:Title>
    <b:Year>2017</b:Year>
    <b:Author>
      <b:Author>
        <b:NameList>
          <b:Person>
            <b:Last>I-IV)</b:Last>
            <b:First>Data</b:First>
            <b:Middle>Center Standards (Tiers</b:Middle>
          </b:Person>
        </b:NameList>
      </b:Author>
    </b:Author>
    <b:URL>https://www.colocationamerica.com/data-center/tier-standards-overview.htm</b:URL>
    <b:RefOrder>3</b:RefOrder>
  </b:Source>
</b:Sources>
</file>

<file path=customXml/itemProps1.xml><?xml version="1.0" encoding="utf-8"?>
<ds:datastoreItem xmlns:ds="http://schemas.openxmlformats.org/officeDocument/2006/customXml" ds:itemID="{69D808C1-A3D3-47E4-87EC-E0E96D5D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Shihao Fei</dc:creator>
  <cp:keywords/>
  <dc:description/>
  <cp:lastModifiedBy>Shihao Fei</cp:lastModifiedBy>
  <cp:revision>3</cp:revision>
  <dcterms:created xsi:type="dcterms:W3CDTF">2017-02-16T14:39:00Z</dcterms:created>
  <dcterms:modified xsi:type="dcterms:W3CDTF">2017-03-01T16:43:00Z</dcterms:modified>
</cp:coreProperties>
</file>