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 Bom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Mart Doyle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October 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2016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10/28/16-11/04/16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5        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 to Date: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Accomplishments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October 28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Manage expectations of scope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Redesign scope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Restructure WBS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for November 4,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Website prototype building.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20 more artisans and add them to the artisans list we have (bring total to 70).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Hold team meeting to discuss next steps of project schedule.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Begin analyzing what needs to be done for the procedures document and give recommendations to entrepreneurs.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Unable to hold a team meeting for the second week in a row.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buffer time available - we must begin website prototype ASAP to complete project on time.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lowerLetter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