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F9B" w:rsidRDefault="006748BB">
      <w:pPr>
        <w:rPr>
          <w:rFonts w:ascii="Times New Roman" w:hAnsi="Times New Roman" w:cs="Times New Roman"/>
          <w:sz w:val="24"/>
        </w:rPr>
      </w:pPr>
      <w:r w:rsidRPr="006748BB">
        <w:rPr>
          <w:rFonts w:ascii="Times New Roman" w:hAnsi="Times New Roman" w:cs="Times New Roman"/>
          <w:sz w:val="24"/>
        </w:rPr>
        <w:t>Simerjot Sidhu</w:t>
      </w:r>
    </w:p>
    <w:p w:rsidR="00DF64C2" w:rsidRDefault="00751A3B" w:rsidP="00C1291A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We can save our company $9.2 million if we switch 80% of ours servers to use Virtualization. </w:t>
      </w:r>
      <w:r>
        <w:rPr>
          <w:rFonts w:ascii="Times New Roman" w:hAnsi="Times New Roman" w:cs="Times New Roman"/>
          <w:sz w:val="24"/>
        </w:rPr>
        <w:t>Virtualization software solves the problem by enabling several operating systems and applications to run on one physical server.</w:t>
      </w:r>
      <w:r>
        <w:rPr>
          <w:rFonts w:ascii="Times New Roman" w:hAnsi="Times New Roman" w:cs="Times New Roman"/>
          <w:sz w:val="24"/>
        </w:rPr>
        <w:t xml:space="preserve"> </w:t>
      </w:r>
      <w:r w:rsidR="00DF64C2">
        <w:rPr>
          <w:rFonts w:ascii="Times New Roman" w:hAnsi="Times New Roman" w:cs="Times New Roman"/>
          <w:sz w:val="24"/>
        </w:rPr>
        <w:t xml:space="preserve">We will be saving money using VMware which will run 10 servers in one virtual machine. </w:t>
      </w:r>
    </w:p>
    <w:p w:rsidR="009C04F2" w:rsidRDefault="00C1291A" w:rsidP="00C1291A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Virtualization technology </w:t>
      </w:r>
      <w:r w:rsidR="007A641F">
        <w:rPr>
          <w:rFonts w:ascii="Times New Roman" w:hAnsi="Times New Roman" w:cs="Times New Roman"/>
          <w:sz w:val="24"/>
        </w:rPr>
        <w:t xml:space="preserve">main feature is </w:t>
      </w:r>
      <w:r w:rsidR="00DF64C2">
        <w:rPr>
          <w:rFonts w:ascii="Times New Roman" w:hAnsi="Times New Roman" w:cs="Times New Roman"/>
          <w:sz w:val="24"/>
        </w:rPr>
        <w:t>server consolidation</w:t>
      </w:r>
      <w:r w:rsidR="007A641F">
        <w:rPr>
          <w:rFonts w:ascii="Times New Roman" w:hAnsi="Times New Roman" w:cs="Times New Roman"/>
          <w:sz w:val="24"/>
        </w:rPr>
        <w:t>.</w:t>
      </w:r>
      <w:r w:rsidR="00DF64C2">
        <w:rPr>
          <w:rFonts w:ascii="Times New Roman" w:hAnsi="Times New Roman" w:cs="Times New Roman"/>
          <w:sz w:val="24"/>
        </w:rPr>
        <w:t xml:space="preserve"> Through this main feature, we can </w:t>
      </w:r>
      <w:r w:rsidR="008E745C">
        <w:rPr>
          <w:rFonts w:ascii="Times New Roman" w:hAnsi="Times New Roman" w:cs="Times New Roman"/>
          <w:sz w:val="24"/>
        </w:rPr>
        <w:t>severally decrease</w:t>
      </w:r>
      <w:r w:rsidR="00DF64C2">
        <w:rPr>
          <w:rFonts w:ascii="Times New Roman" w:hAnsi="Times New Roman" w:cs="Times New Roman"/>
          <w:sz w:val="24"/>
        </w:rPr>
        <w:t xml:space="preserve"> the number of servers we use</w:t>
      </w:r>
      <w:r w:rsidR="00CB0A05">
        <w:rPr>
          <w:rFonts w:ascii="Times New Roman" w:hAnsi="Times New Roman" w:cs="Times New Roman"/>
          <w:sz w:val="24"/>
        </w:rPr>
        <w:t>. This means that there will be lower capital and operating costs</w:t>
      </w:r>
      <w:r w:rsidR="008E745C">
        <w:rPr>
          <w:rFonts w:ascii="Times New Roman" w:hAnsi="Times New Roman" w:cs="Times New Roman"/>
          <w:sz w:val="24"/>
        </w:rPr>
        <w:t xml:space="preserve"> du</w:t>
      </w:r>
      <w:r w:rsidR="00DF64C2">
        <w:rPr>
          <w:rFonts w:ascii="Times New Roman" w:hAnsi="Times New Roman" w:cs="Times New Roman"/>
          <w:sz w:val="24"/>
        </w:rPr>
        <w:t>e t</w:t>
      </w:r>
      <w:r w:rsidR="008E745C">
        <w:rPr>
          <w:rFonts w:ascii="Times New Roman" w:hAnsi="Times New Roman" w:cs="Times New Roman"/>
          <w:sz w:val="24"/>
        </w:rPr>
        <w:t xml:space="preserve">o the less power consumption. It will also increase the “efficiency of server resources”. </w:t>
      </w:r>
      <w:r w:rsidR="00CB0A05">
        <w:rPr>
          <w:rFonts w:ascii="Times New Roman" w:hAnsi="Times New Roman" w:cs="Times New Roman"/>
          <w:sz w:val="24"/>
        </w:rPr>
        <w:t>Its integrated availability and fault tolerance will automatically restart the failed VMs which will prevent costly downtime and data loss. It includes a redundant servers on multiple machines incase if any unplanned interruptions do occur</w:t>
      </w:r>
      <w:r w:rsidR="00845A9A">
        <w:rPr>
          <w:rFonts w:ascii="Times New Roman" w:hAnsi="Times New Roman" w:cs="Times New Roman"/>
          <w:sz w:val="24"/>
        </w:rPr>
        <w:t xml:space="preserve">. </w:t>
      </w:r>
    </w:p>
    <w:p w:rsidR="009C04F2" w:rsidRDefault="00EB60E5" w:rsidP="009C04F2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With 1000 servers we would be</w:t>
      </w:r>
      <w:r w:rsidR="00E8553A">
        <w:rPr>
          <w:rFonts w:ascii="Times New Roman" w:hAnsi="Times New Roman" w:cs="Times New Roman"/>
          <w:sz w:val="24"/>
        </w:rPr>
        <w:t xml:space="preserve"> spending $10 million in year on</w:t>
      </w:r>
      <w:r>
        <w:rPr>
          <w:rFonts w:ascii="Times New Roman" w:hAnsi="Times New Roman" w:cs="Times New Roman"/>
          <w:sz w:val="24"/>
        </w:rPr>
        <w:t>e</w:t>
      </w:r>
      <w:r w:rsidR="00E8553A">
        <w:rPr>
          <w:rFonts w:ascii="Times New Roman" w:hAnsi="Times New Roman" w:cs="Times New Roman"/>
          <w:sz w:val="24"/>
        </w:rPr>
        <w:t xml:space="preserve"> to buy the new servers</w:t>
      </w:r>
      <w:r>
        <w:rPr>
          <w:rFonts w:ascii="Times New Roman" w:hAnsi="Times New Roman" w:cs="Times New Roman"/>
          <w:sz w:val="24"/>
        </w:rPr>
        <w:t xml:space="preserve"> and $2 million in years 2 and 3</w:t>
      </w:r>
      <w:r w:rsidR="00E8553A">
        <w:rPr>
          <w:rFonts w:ascii="Times New Roman" w:hAnsi="Times New Roman" w:cs="Times New Roman"/>
          <w:sz w:val="24"/>
        </w:rPr>
        <w:t xml:space="preserve"> to maintain them</w:t>
      </w:r>
      <w:r>
        <w:rPr>
          <w:rFonts w:ascii="Times New Roman" w:hAnsi="Times New Roman" w:cs="Times New Roman"/>
          <w:sz w:val="24"/>
        </w:rPr>
        <w:t>, making a total cost of $14 million. If we use virtualization, we would have 10 servers in each VMware application</w:t>
      </w:r>
      <w:r w:rsidR="00E8553A">
        <w:rPr>
          <w:rFonts w:ascii="Times New Roman" w:hAnsi="Times New Roman" w:cs="Times New Roman"/>
          <w:sz w:val="24"/>
        </w:rPr>
        <w:t xml:space="preserve"> for 80% of our physical servers</w:t>
      </w:r>
      <w:r>
        <w:rPr>
          <w:rFonts w:ascii="Times New Roman" w:hAnsi="Times New Roman" w:cs="Times New Roman"/>
          <w:sz w:val="24"/>
        </w:rPr>
        <w:t>, making the server count a total of 2</w:t>
      </w:r>
      <w:r w:rsidR="00A727E1">
        <w:rPr>
          <w:rFonts w:ascii="Times New Roman" w:hAnsi="Times New Roman" w:cs="Times New Roman"/>
          <w:sz w:val="24"/>
        </w:rPr>
        <w:t>80. We will spend $3,520,000 in year one</w:t>
      </w:r>
      <w:r w:rsidR="00E8553A">
        <w:rPr>
          <w:rFonts w:ascii="Times New Roman" w:hAnsi="Times New Roman" w:cs="Times New Roman"/>
          <w:sz w:val="24"/>
        </w:rPr>
        <w:t xml:space="preserve"> to purchase</w:t>
      </w:r>
      <w:r w:rsidR="00A727E1">
        <w:rPr>
          <w:rFonts w:ascii="Times New Roman" w:hAnsi="Times New Roman" w:cs="Times New Roman"/>
          <w:sz w:val="24"/>
        </w:rPr>
        <w:t xml:space="preserve"> and $640,000 in years 2 and 3</w:t>
      </w:r>
      <w:r w:rsidR="00E8553A">
        <w:rPr>
          <w:rFonts w:ascii="Times New Roman" w:hAnsi="Times New Roman" w:cs="Times New Roman"/>
          <w:sz w:val="24"/>
        </w:rPr>
        <w:t xml:space="preserve"> to maintain</w:t>
      </w:r>
      <w:r w:rsidR="00A727E1">
        <w:rPr>
          <w:rFonts w:ascii="Times New Roman" w:hAnsi="Times New Roman" w:cs="Times New Roman"/>
          <w:sz w:val="24"/>
        </w:rPr>
        <w:t>. We would save $6,480,000 in year one a</w:t>
      </w:r>
      <w:r w:rsidR="00E8553A">
        <w:rPr>
          <w:rFonts w:ascii="Times New Roman" w:hAnsi="Times New Roman" w:cs="Times New Roman"/>
          <w:sz w:val="24"/>
        </w:rPr>
        <w:t xml:space="preserve">nd $1,360,000 in years 2 and 3. Making the total net savings $9.2 million.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B375A" w:rsidTr="007B375A">
        <w:trPr>
          <w:trHeight w:val="800"/>
        </w:trPr>
        <w:tc>
          <w:tcPr>
            <w:tcW w:w="2337" w:type="dxa"/>
          </w:tcPr>
          <w:p w:rsidR="007B375A" w:rsidRDefault="007B375A" w:rsidP="00C1291A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2337" w:type="dxa"/>
          </w:tcPr>
          <w:p w:rsidR="007B375A" w:rsidRDefault="007B375A" w:rsidP="00C1291A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Costs of  1000 servers</w:t>
            </w:r>
          </w:p>
        </w:tc>
        <w:tc>
          <w:tcPr>
            <w:tcW w:w="2338" w:type="dxa"/>
          </w:tcPr>
          <w:p w:rsidR="007B375A" w:rsidRDefault="007B375A" w:rsidP="00C1291A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Costs of 80%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Vmware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and 200 servers</w:t>
            </w:r>
          </w:p>
        </w:tc>
        <w:tc>
          <w:tcPr>
            <w:tcW w:w="2338" w:type="dxa"/>
          </w:tcPr>
          <w:p w:rsidR="007B375A" w:rsidRDefault="007B375A" w:rsidP="00C1291A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Savings</w:t>
            </w:r>
          </w:p>
        </w:tc>
      </w:tr>
      <w:tr w:rsidR="007B375A" w:rsidTr="007B375A">
        <w:tc>
          <w:tcPr>
            <w:tcW w:w="2337" w:type="dxa"/>
          </w:tcPr>
          <w:p w:rsidR="007B375A" w:rsidRDefault="007B375A" w:rsidP="00C1291A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37" w:type="dxa"/>
          </w:tcPr>
          <w:p w:rsidR="007B375A" w:rsidRDefault="007B375A" w:rsidP="00C1291A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10,000,000</w:t>
            </w:r>
          </w:p>
        </w:tc>
        <w:tc>
          <w:tcPr>
            <w:tcW w:w="2338" w:type="dxa"/>
          </w:tcPr>
          <w:p w:rsidR="007B375A" w:rsidRDefault="007B375A" w:rsidP="00C1291A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3,520,000</w:t>
            </w:r>
          </w:p>
        </w:tc>
        <w:tc>
          <w:tcPr>
            <w:tcW w:w="2338" w:type="dxa"/>
          </w:tcPr>
          <w:p w:rsidR="007B375A" w:rsidRDefault="007B375A" w:rsidP="00C1291A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6,480,000</w:t>
            </w:r>
          </w:p>
        </w:tc>
      </w:tr>
      <w:tr w:rsidR="007B375A" w:rsidTr="007B375A">
        <w:tc>
          <w:tcPr>
            <w:tcW w:w="2337" w:type="dxa"/>
          </w:tcPr>
          <w:p w:rsidR="007B375A" w:rsidRDefault="007B375A" w:rsidP="00C1291A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37" w:type="dxa"/>
          </w:tcPr>
          <w:p w:rsidR="007B375A" w:rsidRDefault="007B375A" w:rsidP="00C1291A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2,000,000</w:t>
            </w:r>
          </w:p>
        </w:tc>
        <w:tc>
          <w:tcPr>
            <w:tcW w:w="2338" w:type="dxa"/>
          </w:tcPr>
          <w:p w:rsidR="007B375A" w:rsidRDefault="007B375A" w:rsidP="00C1291A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640,000</w:t>
            </w:r>
          </w:p>
        </w:tc>
        <w:tc>
          <w:tcPr>
            <w:tcW w:w="2338" w:type="dxa"/>
          </w:tcPr>
          <w:p w:rsidR="007B375A" w:rsidRDefault="007B375A" w:rsidP="00C1291A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1,360,000</w:t>
            </w:r>
          </w:p>
        </w:tc>
      </w:tr>
      <w:tr w:rsidR="007B375A" w:rsidTr="007B375A">
        <w:tc>
          <w:tcPr>
            <w:tcW w:w="2337" w:type="dxa"/>
          </w:tcPr>
          <w:p w:rsidR="007B375A" w:rsidRDefault="007B375A" w:rsidP="00C1291A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337" w:type="dxa"/>
          </w:tcPr>
          <w:p w:rsidR="007B375A" w:rsidRDefault="007B375A" w:rsidP="00C1291A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2,000,000</w:t>
            </w:r>
          </w:p>
        </w:tc>
        <w:tc>
          <w:tcPr>
            <w:tcW w:w="2338" w:type="dxa"/>
          </w:tcPr>
          <w:p w:rsidR="007B375A" w:rsidRDefault="007B375A" w:rsidP="00C1291A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640,000</w:t>
            </w:r>
          </w:p>
        </w:tc>
        <w:tc>
          <w:tcPr>
            <w:tcW w:w="2338" w:type="dxa"/>
          </w:tcPr>
          <w:p w:rsidR="007B375A" w:rsidRDefault="007B375A" w:rsidP="00C1291A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1,360,000</w:t>
            </w:r>
          </w:p>
        </w:tc>
      </w:tr>
      <w:tr w:rsidR="007B375A" w:rsidTr="007B375A">
        <w:tc>
          <w:tcPr>
            <w:tcW w:w="2337" w:type="dxa"/>
          </w:tcPr>
          <w:p w:rsidR="007B375A" w:rsidRDefault="007B375A" w:rsidP="00C1291A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</w:t>
            </w:r>
          </w:p>
        </w:tc>
        <w:tc>
          <w:tcPr>
            <w:tcW w:w="2337" w:type="dxa"/>
          </w:tcPr>
          <w:p w:rsidR="007B375A" w:rsidRDefault="007B375A" w:rsidP="00C1291A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14,000,000</w:t>
            </w:r>
          </w:p>
        </w:tc>
        <w:tc>
          <w:tcPr>
            <w:tcW w:w="2338" w:type="dxa"/>
          </w:tcPr>
          <w:p w:rsidR="007B375A" w:rsidRDefault="007B375A" w:rsidP="00C1291A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4,800,000</w:t>
            </w:r>
          </w:p>
        </w:tc>
        <w:tc>
          <w:tcPr>
            <w:tcW w:w="2338" w:type="dxa"/>
          </w:tcPr>
          <w:p w:rsidR="007B375A" w:rsidRDefault="007B375A" w:rsidP="00C1291A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9,200,000</w:t>
            </w:r>
          </w:p>
        </w:tc>
      </w:tr>
    </w:tbl>
    <w:p w:rsidR="00C1291A" w:rsidRDefault="00C1291A" w:rsidP="00C1291A">
      <w:pPr>
        <w:spacing w:line="480" w:lineRule="auto"/>
        <w:rPr>
          <w:rFonts w:ascii="Times New Roman" w:hAnsi="Times New Roman" w:cs="Times New Roman"/>
          <w:sz w:val="24"/>
        </w:rPr>
      </w:pPr>
    </w:p>
    <w:p w:rsidR="007B375A" w:rsidRDefault="00AE0710" w:rsidP="00C1291A">
      <w:pPr>
        <w:spacing w:line="48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"Virtualization Basics.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"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,</w:t>
      </w:r>
      <w:proofErr w:type="gramEnd"/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 xml:space="preserve"> What Is Virtualization: VMware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 Web. 12 Feb. 2015. &lt;http://www.vmware.com/virtualization/virtualization-basics/what-is-virtualization&gt;.</w:t>
      </w:r>
    </w:p>
    <w:p w:rsidR="00AE0710" w:rsidRDefault="00AE0710" w:rsidP="00C1291A">
      <w:pPr>
        <w:spacing w:line="48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AE0710" w:rsidRDefault="00AE0710" w:rsidP="00C1291A">
      <w:pPr>
        <w:spacing w:line="48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"Virtualization."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Technology &amp; Virtual Machine Software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 Web. 12 Feb. 2015. &lt;http://www.vmware.com/virtualization&gt;.</w:t>
      </w:r>
    </w:p>
    <w:p w:rsidR="00AE0710" w:rsidRDefault="00AE0710" w:rsidP="00C1291A">
      <w:pPr>
        <w:spacing w:line="48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AE0710" w:rsidRDefault="00AE0710" w:rsidP="00C1291A">
      <w:pPr>
        <w:spacing w:line="48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Web. 12 Feb. 2015. &lt;http://www.vmware.com/virtualizationn&gt;.</w:t>
      </w:r>
    </w:p>
    <w:p w:rsidR="009C04F2" w:rsidRDefault="009C04F2" w:rsidP="00C1291A">
      <w:pPr>
        <w:spacing w:line="480" w:lineRule="auto"/>
        <w:rPr>
          <w:rFonts w:ascii="Times New Roman" w:hAnsi="Times New Roman" w:cs="Times New Roman"/>
          <w:sz w:val="24"/>
        </w:rPr>
      </w:pPr>
    </w:p>
    <w:p w:rsidR="00C1291A" w:rsidRPr="006748BB" w:rsidRDefault="00C1291A" w:rsidP="00C1291A">
      <w:pPr>
        <w:spacing w:line="480" w:lineRule="auto"/>
        <w:rPr>
          <w:rFonts w:ascii="Times New Roman" w:hAnsi="Times New Roman" w:cs="Times New Roman"/>
          <w:sz w:val="24"/>
        </w:rPr>
      </w:pPr>
    </w:p>
    <w:sectPr w:rsidR="00C1291A" w:rsidRPr="00674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BB"/>
    <w:rsid w:val="00086A98"/>
    <w:rsid w:val="00332F78"/>
    <w:rsid w:val="006748BB"/>
    <w:rsid w:val="00751A3B"/>
    <w:rsid w:val="007A641F"/>
    <w:rsid w:val="007B375A"/>
    <w:rsid w:val="007C4F9B"/>
    <w:rsid w:val="00845A9A"/>
    <w:rsid w:val="008E745C"/>
    <w:rsid w:val="00917AFA"/>
    <w:rsid w:val="009C04F2"/>
    <w:rsid w:val="00A727E1"/>
    <w:rsid w:val="00AE0710"/>
    <w:rsid w:val="00B93125"/>
    <w:rsid w:val="00C1291A"/>
    <w:rsid w:val="00C960A3"/>
    <w:rsid w:val="00CB0A05"/>
    <w:rsid w:val="00D16EC8"/>
    <w:rsid w:val="00DB3AA1"/>
    <w:rsid w:val="00DE4E0C"/>
    <w:rsid w:val="00DF64C2"/>
    <w:rsid w:val="00E8553A"/>
    <w:rsid w:val="00E97EB7"/>
    <w:rsid w:val="00EB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C9CCA-76F5-4853-A0C1-8FFA9C1D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91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B3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E0710"/>
  </w:style>
  <w:style w:type="paragraph" w:styleId="BalloonText">
    <w:name w:val="Balloon Text"/>
    <w:basedOn w:val="Normal"/>
    <w:link w:val="BalloonTextChar"/>
    <w:uiPriority w:val="99"/>
    <w:semiHidden/>
    <w:unhideWhenUsed/>
    <w:rsid w:val="00AE0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1F8DB-30A6-448C-9D94-07CF8294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Simerjot S Sidhu</dc:creator>
  <cp:keywords/>
  <dc:description/>
  <cp:lastModifiedBy>Simerjot Sidhu</cp:lastModifiedBy>
  <cp:revision>2</cp:revision>
  <cp:lastPrinted>2015-02-12T05:41:00Z</cp:lastPrinted>
  <dcterms:created xsi:type="dcterms:W3CDTF">2015-02-17T04:18:00Z</dcterms:created>
  <dcterms:modified xsi:type="dcterms:W3CDTF">2015-02-17T04:18:00Z</dcterms:modified>
</cp:coreProperties>
</file>