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3D" w:rsidRPr="00752EDC" w:rsidRDefault="00752EDC" w:rsidP="00752EDC">
      <w:pPr>
        <w:rPr>
          <w:rFonts w:ascii="Times New Roman" w:hAnsi="Times New Roman"/>
          <w:sz w:val="24"/>
          <w:szCs w:val="28"/>
        </w:rPr>
      </w:pPr>
      <w:r w:rsidRPr="00752EDC">
        <w:rPr>
          <w:rFonts w:ascii="Times New Roman" w:hAnsi="Times New Roman"/>
          <w:sz w:val="24"/>
          <w:szCs w:val="28"/>
        </w:rPr>
        <w:t>Vikrant Gokhale</w:t>
      </w:r>
    </w:p>
    <w:p w:rsidR="00331F12" w:rsidRDefault="00331F12" w:rsidP="00752ED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Flash Research 1: </w:t>
      </w:r>
      <w:r w:rsidR="00B922CE" w:rsidRPr="00B922CE">
        <w:rPr>
          <w:rFonts w:ascii="Times New Roman" w:hAnsi="Times New Roman"/>
          <w:b/>
          <w:sz w:val="28"/>
          <w:szCs w:val="28"/>
          <w:u w:val="single"/>
        </w:rPr>
        <w:t>Data centers and Networking</w:t>
      </w:r>
    </w:p>
    <w:p w:rsidR="00B922CE" w:rsidRPr="00C839E6" w:rsidRDefault="00712165" w:rsidP="00B922CE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C839E6">
        <w:rPr>
          <w:rFonts w:ascii="Times New Roman" w:hAnsi="Times New Roman"/>
          <w:sz w:val="24"/>
          <w:szCs w:val="24"/>
        </w:rPr>
        <w:t xml:space="preserve">Our company </w:t>
      </w:r>
      <w:r w:rsidR="00B922CE" w:rsidRPr="00C839E6">
        <w:rPr>
          <w:rFonts w:ascii="Times New Roman" w:hAnsi="Times New Roman"/>
          <w:sz w:val="24"/>
          <w:szCs w:val="24"/>
        </w:rPr>
        <w:t xml:space="preserve">can save </w:t>
      </w:r>
      <w:r w:rsidR="00BD7F9F" w:rsidRPr="00C839E6">
        <w:rPr>
          <w:rFonts w:ascii="Times New Roman" w:hAnsi="Times New Roman"/>
          <w:sz w:val="24"/>
          <w:szCs w:val="24"/>
        </w:rPr>
        <w:t xml:space="preserve">$13.2 million </w:t>
      </w:r>
      <w:r w:rsidR="004D1ACD">
        <w:rPr>
          <w:rFonts w:ascii="Times New Roman" w:hAnsi="Times New Roman"/>
          <w:sz w:val="24"/>
          <w:szCs w:val="24"/>
        </w:rPr>
        <w:t>over three</w:t>
      </w:r>
      <w:r w:rsidRPr="00C839E6">
        <w:rPr>
          <w:rFonts w:ascii="Times New Roman" w:hAnsi="Times New Roman"/>
          <w:sz w:val="24"/>
          <w:szCs w:val="24"/>
        </w:rPr>
        <w:t xml:space="preserve"> years </w:t>
      </w:r>
      <w:r w:rsidR="00B922CE" w:rsidRPr="00C839E6">
        <w:rPr>
          <w:rFonts w:ascii="Times New Roman" w:hAnsi="Times New Roman"/>
          <w:sz w:val="24"/>
          <w:szCs w:val="24"/>
        </w:rPr>
        <w:t xml:space="preserve">by upgrading our data center </w:t>
      </w:r>
      <w:r w:rsidRPr="00C839E6">
        <w:rPr>
          <w:rFonts w:ascii="Times New Roman" w:hAnsi="Times New Roman"/>
          <w:sz w:val="24"/>
          <w:szCs w:val="24"/>
        </w:rPr>
        <w:t xml:space="preserve">from Tier I </w:t>
      </w:r>
      <w:r w:rsidR="00B922CE" w:rsidRPr="00C839E6">
        <w:rPr>
          <w:rFonts w:ascii="Times New Roman" w:hAnsi="Times New Roman"/>
          <w:sz w:val="24"/>
          <w:szCs w:val="24"/>
        </w:rPr>
        <w:t>to</w:t>
      </w:r>
      <w:r w:rsidRPr="00C839E6">
        <w:rPr>
          <w:rFonts w:ascii="Times New Roman" w:hAnsi="Times New Roman"/>
          <w:sz w:val="24"/>
          <w:szCs w:val="24"/>
        </w:rPr>
        <w:t xml:space="preserve"> </w:t>
      </w:r>
      <w:r w:rsidR="00B922CE" w:rsidRPr="00C839E6">
        <w:rPr>
          <w:rFonts w:ascii="Times New Roman" w:hAnsi="Times New Roman"/>
          <w:sz w:val="24"/>
          <w:szCs w:val="24"/>
        </w:rPr>
        <w:t>Tier III</w:t>
      </w:r>
      <w:r w:rsidRPr="00C839E6">
        <w:rPr>
          <w:rFonts w:ascii="Times New Roman" w:hAnsi="Times New Roman"/>
          <w:sz w:val="24"/>
          <w:szCs w:val="24"/>
        </w:rPr>
        <w:t xml:space="preserve">. </w:t>
      </w:r>
      <w:r w:rsidR="00331F12" w:rsidRPr="00C839E6">
        <w:rPr>
          <w:rFonts w:ascii="Times New Roman" w:hAnsi="Times New Roman"/>
          <w:sz w:val="24"/>
          <w:szCs w:val="24"/>
        </w:rPr>
        <w:t xml:space="preserve"> </w:t>
      </w:r>
      <w:r w:rsidR="004D1ACD" w:rsidRPr="00C839E6">
        <w:rPr>
          <w:rFonts w:ascii="Times New Roman" w:hAnsi="Times New Roman"/>
          <w:sz w:val="24"/>
          <w:szCs w:val="24"/>
        </w:rPr>
        <w:t xml:space="preserve">In the past year we have dealt with ten unscheduled outages in our ERP system which prohibits everyday business functions. </w:t>
      </w:r>
      <w:r w:rsidR="00331F12" w:rsidRPr="00C839E6">
        <w:rPr>
          <w:rFonts w:ascii="Times New Roman" w:hAnsi="Times New Roman"/>
          <w:sz w:val="24"/>
          <w:szCs w:val="24"/>
        </w:rPr>
        <w:t xml:space="preserve">A Tier III data center has multiple pathways with redundant capacity components, </w:t>
      </w:r>
      <w:r w:rsidR="00821B39" w:rsidRPr="00C839E6">
        <w:rPr>
          <w:rFonts w:ascii="Times New Roman" w:hAnsi="Times New Roman"/>
          <w:sz w:val="24"/>
          <w:szCs w:val="24"/>
        </w:rPr>
        <w:t xml:space="preserve">which will significantly increase the availability of our ERP system, reducing </w:t>
      </w:r>
      <w:r w:rsidR="00331F12" w:rsidRPr="00C839E6">
        <w:rPr>
          <w:rFonts w:ascii="Times New Roman" w:hAnsi="Times New Roman"/>
          <w:sz w:val="24"/>
          <w:szCs w:val="24"/>
        </w:rPr>
        <w:t xml:space="preserve">the chance of interruptions. </w:t>
      </w:r>
      <w:r w:rsidR="004D1ACD">
        <w:rPr>
          <w:rFonts w:ascii="Times New Roman" w:hAnsi="Times New Roman"/>
          <w:sz w:val="24"/>
          <w:szCs w:val="24"/>
        </w:rPr>
        <w:t>This saves us costs associated with downtime.</w:t>
      </w:r>
    </w:p>
    <w:p w:rsidR="00821B39" w:rsidRPr="00C839E6" w:rsidRDefault="00B922CE" w:rsidP="00821B39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C839E6">
        <w:rPr>
          <w:rFonts w:ascii="Times New Roman" w:hAnsi="Times New Roman"/>
          <w:sz w:val="24"/>
          <w:szCs w:val="24"/>
        </w:rPr>
        <w:t xml:space="preserve">A Tier III center provides us with a state of the art “Concurrently Maintainable </w:t>
      </w:r>
      <w:r w:rsidR="00144877">
        <w:rPr>
          <w:rFonts w:ascii="Times New Roman" w:hAnsi="Times New Roman"/>
          <w:sz w:val="24"/>
          <w:szCs w:val="24"/>
        </w:rPr>
        <w:t>Site Infrastructure</w:t>
      </w:r>
      <w:r w:rsidR="004D1ACD">
        <w:rPr>
          <w:rFonts w:ascii="Times New Roman" w:hAnsi="Times New Roman"/>
          <w:sz w:val="24"/>
          <w:szCs w:val="24"/>
        </w:rPr>
        <w:t>”</w:t>
      </w:r>
      <w:r w:rsidR="00144877">
        <w:rPr>
          <w:rFonts w:ascii="Times New Roman" w:hAnsi="Times New Roman"/>
          <w:sz w:val="24"/>
          <w:szCs w:val="24"/>
        </w:rPr>
        <w:t xml:space="preserve"> (Uptime Institute).</w:t>
      </w:r>
      <w:r w:rsidR="004D1ACD">
        <w:rPr>
          <w:rFonts w:ascii="Times New Roman" w:hAnsi="Times New Roman"/>
          <w:sz w:val="24"/>
          <w:szCs w:val="24"/>
        </w:rPr>
        <w:t xml:space="preserve"> This</w:t>
      </w:r>
      <w:r w:rsidRPr="00C839E6">
        <w:rPr>
          <w:rFonts w:ascii="Times New Roman" w:hAnsi="Times New Roman"/>
          <w:sz w:val="24"/>
          <w:szCs w:val="24"/>
        </w:rPr>
        <w:t xml:space="preserve"> mean</w:t>
      </w:r>
      <w:r w:rsidR="004D1ACD">
        <w:rPr>
          <w:rFonts w:ascii="Times New Roman" w:hAnsi="Times New Roman"/>
          <w:sz w:val="24"/>
          <w:szCs w:val="24"/>
        </w:rPr>
        <w:t>s</w:t>
      </w:r>
      <w:r w:rsidRPr="00C839E6">
        <w:rPr>
          <w:rFonts w:ascii="Times New Roman" w:hAnsi="Times New Roman"/>
          <w:sz w:val="24"/>
          <w:szCs w:val="24"/>
        </w:rPr>
        <w:t xml:space="preserve"> that we would have dual power distribution paths, the ability to concurrently perform mainten</w:t>
      </w:r>
      <w:r w:rsidR="004D1ACD">
        <w:rPr>
          <w:rFonts w:ascii="Times New Roman" w:hAnsi="Times New Roman"/>
          <w:sz w:val="24"/>
          <w:szCs w:val="24"/>
        </w:rPr>
        <w:t>ance without disruption, and</w:t>
      </w:r>
      <w:r w:rsidRPr="00C839E6">
        <w:rPr>
          <w:rFonts w:ascii="Times New Roman" w:hAnsi="Times New Roman"/>
          <w:sz w:val="24"/>
          <w:szCs w:val="24"/>
        </w:rPr>
        <w:t xml:space="preserve"> as twelve hours of on-site fuel to power our backup generators in the event of a power outage. </w:t>
      </w:r>
      <w:r w:rsidR="004D1ACD">
        <w:rPr>
          <w:rFonts w:ascii="Times New Roman" w:hAnsi="Times New Roman"/>
          <w:sz w:val="24"/>
          <w:szCs w:val="24"/>
        </w:rPr>
        <w:t>A</w:t>
      </w:r>
      <w:r w:rsidR="00BD7F9F" w:rsidRPr="00C839E6">
        <w:rPr>
          <w:rFonts w:ascii="Times New Roman" w:hAnsi="Times New Roman"/>
          <w:sz w:val="24"/>
          <w:szCs w:val="24"/>
        </w:rPr>
        <w:t>vailability will increase from 99.67% to 99.98%.</w:t>
      </w:r>
      <w:r w:rsidRPr="00C839E6">
        <w:rPr>
          <w:rFonts w:ascii="Times New Roman" w:hAnsi="Times New Roman"/>
          <w:sz w:val="24"/>
          <w:szCs w:val="24"/>
        </w:rPr>
        <w:t xml:space="preserve"> </w:t>
      </w:r>
      <w:r w:rsidR="00BD7F9F" w:rsidRPr="00C839E6">
        <w:rPr>
          <w:rFonts w:ascii="Times New Roman" w:hAnsi="Times New Roman"/>
          <w:sz w:val="24"/>
          <w:szCs w:val="24"/>
        </w:rPr>
        <w:t>We experience 1734 minutes of down time over the yea</w:t>
      </w:r>
      <w:r w:rsidR="00366A7C" w:rsidRPr="00C839E6">
        <w:rPr>
          <w:rFonts w:ascii="Times New Roman" w:hAnsi="Times New Roman"/>
          <w:sz w:val="24"/>
          <w:szCs w:val="24"/>
        </w:rPr>
        <w:t xml:space="preserve">r with our current data center, during which business </w:t>
      </w:r>
      <w:r w:rsidR="00821B39" w:rsidRPr="00C839E6">
        <w:rPr>
          <w:rFonts w:ascii="Times New Roman" w:hAnsi="Times New Roman"/>
          <w:sz w:val="24"/>
          <w:szCs w:val="24"/>
        </w:rPr>
        <w:t>processes</w:t>
      </w:r>
      <w:r w:rsidR="00366A7C" w:rsidRPr="00C839E6">
        <w:rPr>
          <w:rFonts w:ascii="Times New Roman" w:hAnsi="Times New Roman"/>
          <w:sz w:val="24"/>
          <w:szCs w:val="24"/>
        </w:rPr>
        <w:t xml:space="preserve"> cannot be </w:t>
      </w:r>
      <w:r w:rsidR="00821B39" w:rsidRPr="00C839E6">
        <w:rPr>
          <w:rFonts w:ascii="Times New Roman" w:hAnsi="Times New Roman"/>
          <w:sz w:val="24"/>
          <w:szCs w:val="24"/>
        </w:rPr>
        <w:t xml:space="preserve">performed. </w:t>
      </w:r>
      <w:r w:rsidR="00366A7C" w:rsidRPr="00C839E6">
        <w:rPr>
          <w:rFonts w:ascii="Times New Roman" w:hAnsi="Times New Roman"/>
          <w:sz w:val="24"/>
          <w:szCs w:val="24"/>
        </w:rPr>
        <w:t>With the new</w:t>
      </w:r>
      <w:r w:rsidR="004D1ACD">
        <w:rPr>
          <w:rFonts w:ascii="Times New Roman" w:hAnsi="Times New Roman"/>
          <w:sz w:val="24"/>
          <w:szCs w:val="24"/>
        </w:rPr>
        <w:t xml:space="preserve"> Tier III datacenter, downtime</w:t>
      </w:r>
      <w:r w:rsidR="00366A7C" w:rsidRPr="00C839E6">
        <w:rPr>
          <w:rFonts w:ascii="Times New Roman" w:hAnsi="Times New Roman"/>
          <w:sz w:val="24"/>
          <w:szCs w:val="24"/>
        </w:rPr>
        <w:t xml:space="preserve"> will be reduced to 105 minutes a year. </w:t>
      </w:r>
    </w:p>
    <w:p w:rsidR="00752EDC" w:rsidRPr="00C839E6" w:rsidRDefault="00D12C83" w:rsidP="00752ED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C839E6">
        <w:rPr>
          <w:rFonts w:ascii="Times New Roman" w:hAnsi="Times New Roman"/>
          <w:sz w:val="24"/>
          <w:szCs w:val="24"/>
        </w:rPr>
        <w:t>Investing $35 million in a Tier III data center will increase availability by .31%</w:t>
      </w:r>
      <w:r w:rsidR="005E6563" w:rsidRPr="00C839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E6563" w:rsidRPr="00C839E6">
        <w:rPr>
          <w:rFonts w:ascii="Times New Roman" w:hAnsi="Times New Roman"/>
          <w:sz w:val="24"/>
          <w:szCs w:val="24"/>
        </w:rPr>
        <w:t>As a result of</w:t>
      </w:r>
      <w:proofErr w:type="gramEnd"/>
      <w:r w:rsidR="005E6563" w:rsidRPr="00C839E6">
        <w:rPr>
          <w:rFonts w:ascii="Times New Roman" w:hAnsi="Times New Roman"/>
          <w:sz w:val="24"/>
          <w:szCs w:val="24"/>
        </w:rPr>
        <w:t xml:space="preserve"> </w:t>
      </w:r>
      <w:r w:rsidRPr="00C839E6">
        <w:rPr>
          <w:rFonts w:ascii="Times New Roman" w:hAnsi="Times New Roman"/>
          <w:sz w:val="24"/>
          <w:szCs w:val="24"/>
        </w:rPr>
        <w:t>decrease</w:t>
      </w:r>
      <w:r w:rsidR="005E6563" w:rsidRPr="00C839E6">
        <w:rPr>
          <w:rFonts w:ascii="Times New Roman" w:hAnsi="Times New Roman"/>
          <w:sz w:val="24"/>
          <w:szCs w:val="24"/>
        </w:rPr>
        <w:t>d</w:t>
      </w:r>
      <w:r w:rsidRPr="00C839E6">
        <w:rPr>
          <w:rFonts w:ascii="Times New Roman" w:hAnsi="Times New Roman"/>
          <w:sz w:val="24"/>
          <w:szCs w:val="24"/>
        </w:rPr>
        <w:t xml:space="preserve"> downtime</w:t>
      </w:r>
      <w:r w:rsidR="005E6563" w:rsidRPr="00C839E6">
        <w:rPr>
          <w:rFonts w:ascii="Times New Roman" w:hAnsi="Times New Roman"/>
          <w:sz w:val="24"/>
          <w:szCs w:val="24"/>
        </w:rPr>
        <w:t>, we will save $24,144,528 a year, with a total benefit of $48,229,056 over the next three years.</w:t>
      </w:r>
      <w:r w:rsidRPr="00C839E6">
        <w:rPr>
          <w:rFonts w:ascii="Times New Roman" w:hAnsi="Times New Roman"/>
          <w:sz w:val="24"/>
          <w:szCs w:val="24"/>
        </w:rPr>
        <w:t xml:space="preserve"> The </w:t>
      </w:r>
      <w:r w:rsidR="004D1ACD">
        <w:rPr>
          <w:rFonts w:ascii="Times New Roman" w:hAnsi="Times New Roman"/>
          <w:sz w:val="24"/>
          <w:szCs w:val="24"/>
        </w:rPr>
        <w:t>three-</w:t>
      </w:r>
      <w:r w:rsidR="005E6563" w:rsidRPr="00C839E6">
        <w:rPr>
          <w:rFonts w:ascii="Times New Roman" w:hAnsi="Times New Roman"/>
          <w:sz w:val="24"/>
          <w:szCs w:val="24"/>
        </w:rPr>
        <w:t xml:space="preserve">year net profit </w:t>
      </w:r>
      <w:r w:rsidRPr="00C839E6">
        <w:rPr>
          <w:rFonts w:ascii="Times New Roman" w:hAnsi="Times New Roman"/>
          <w:sz w:val="24"/>
          <w:szCs w:val="24"/>
        </w:rPr>
        <w:t xml:space="preserve">of </w:t>
      </w:r>
      <w:r w:rsidR="005E6563" w:rsidRPr="00C839E6">
        <w:rPr>
          <w:rFonts w:ascii="Times New Roman" w:hAnsi="Times New Roman"/>
          <w:sz w:val="24"/>
          <w:szCs w:val="24"/>
        </w:rPr>
        <w:t xml:space="preserve">upgrading to a Tier III datacenter </w:t>
      </w:r>
      <w:r w:rsidR="00EB421D" w:rsidRPr="00C839E6">
        <w:rPr>
          <w:rFonts w:ascii="Times New Roman" w:hAnsi="Times New Roman"/>
          <w:sz w:val="24"/>
          <w:szCs w:val="24"/>
        </w:rPr>
        <w:t xml:space="preserve">to increase availability </w:t>
      </w:r>
      <w:r w:rsidR="005E6563" w:rsidRPr="00C839E6">
        <w:rPr>
          <w:rFonts w:ascii="Times New Roman" w:hAnsi="Times New Roman"/>
          <w:sz w:val="24"/>
          <w:szCs w:val="24"/>
        </w:rPr>
        <w:t>is $13.2 million</w:t>
      </w:r>
      <w:r w:rsidR="00EB421D" w:rsidRPr="00C839E6">
        <w:rPr>
          <w:rFonts w:ascii="Times New Roman" w:hAnsi="Times New Roman"/>
          <w:sz w:val="24"/>
          <w:szCs w:val="24"/>
        </w:rPr>
        <w:t>.</w:t>
      </w:r>
    </w:p>
    <w:p w:rsidR="00217E6A" w:rsidRDefault="00217E6A" w:rsidP="00217E6A">
      <w:pPr>
        <w:spacing w:line="480" w:lineRule="auto"/>
        <w:rPr>
          <w:b/>
          <w:u w:val="single"/>
        </w:rPr>
      </w:pPr>
    </w:p>
    <w:p w:rsidR="00217E6A" w:rsidRDefault="00217E6A" w:rsidP="00217E6A">
      <w:pPr>
        <w:spacing w:line="480" w:lineRule="auto"/>
        <w:rPr>
          <w:b/>
          <w:u w:val="single"/>
        </w:rPr>
      </w:pPr>
    </w:p>
    <w:p w:rsidR="00217E6A" w:rsidRPr="00752EDC" w:rsidRDefault="00217E6A" w:rsidP="00217E6A">
      <w:pPr>
        <w:spacing w:line="480" w:lineRule="auto"/>
      </w:pPr>
    </w:p>
    <w:p w:rsidR="00405A06" w:rsidRDefault="00405A06" w:rsidP="00B922CE">
      <w:pPr>
        <w:pStyle w:val="NoSpacing"/>
      </w:pPr>
    </w:p>
    <w:p w:rsidR="00B922CE" w:rsidRDefault="00B922CE" w:rsidP="00B922CE">
      <w:pPr>
        <w:pStyle w:val="NoSpacing"/>
      </w:pPr>
    </w:p>
    <w:p w:rsidR="00405A06" w:rsidRDefault="00405A06" w:rsidP="002407E8">
      <w:pPr>
        <w:pStyle w:val="NoSpacing"/>
        <w:ind w:firstLine="720"/>
        <w:rPr>
          <w:noProof/>
        </w:rPr>
      </w:pPr>
      <w:r>
        <w:rPr>
          <w:noProof/>
        </w:rPr>
        <w:t>Table 1</w:t>
      </w:r>
      <w:bookmarkStart w:id="0" w:name="_GoBack"/>
      <w:bookmarkEnd w:id="0"/>
    </w:p>
    <w:tbl>
      <w:tblPr>
        <w:tblW w:w="10620" w:type="dxa"/>
        <w:tblLook w:val="04A0" w:firstRow="1" w:lastRow="0" w:firstColumn="1" w:lastColumn="0" w:noHBand="0" w:noVBand="1"/>
      </w:tblPr>
      <w:tblGrid>
        <w:gridCol w:w="960"/>
        <w:gridCol w:w="1100"/>
        <w:gridCol w:w="2060"/>
        <w:gridCol w:w="1860"/>
        <w:gridCol w:w="1600"/>
        <w:gridCol w:w="2080"/>
        <w:gridCol w:w="960"/>
      </w:tblGrid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BA452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Savings in </w:t>
            </w:r>
            <w:r w:rsidR="00F63070" w:rsidRPr="00F63070">
              <w:rPr>
                <w:rFonts w:eastAsia="Times New Roman" w:cs="Calibri"/>
                <w:b/>
                <w:bCs/>
                <w:color w:val="000000"/>
              </w:rPr>
              <w:t>Downtime Cost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Minutes in a 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System </w:t>
            </w:r>
            <w:proofErr w:type="spellStart"/>
            <w:r w:rsidRPr="00F63070">
              <w:rPr>
                <w:rFonts w:eastAsia="Times New Roman" w:cs="Calibri"/>
                <w:b/>
                <w:bCs/>
                <w:color w:val="000000"/>
              </w:rPr>
              <w:t>Availablity</w:t>
            </w:r>
            <w:proofErr w:type="spellEnd"/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F63070">
              <w:rPr>
                <w:rFonts w:eastAsia="Times New Roman" w:cs="Calibri"/>
                <w:b/>
                <w:bCs/>
                <w:color w:val="000000"/>
              </w:rPr>
              <w:br/>
              <w:t>( in 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Downtime</w:t>
            </w:r>
            <w:r w:rsidRPr="00F63070">
              <w:rPr>
                <w:rFonts w:eastAsia="Times New Roman" w:cs="Calibri"/>
                <w:b/>
                <w:bCs/>
                <w:color w:val="000000"/>
              </w:rPr>
              <w:br/>
              <w:t xml:space="preserve"> (in minutes)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Downtime Cost</w:t>
            </w:r>
            <w:r w:rsidRPr="00F63070">
              <w:rPr>
                <w:rFonts w:eastAsia="Times New Roman" w:cs="Calibri"/>
                <w:b/>
                <w:bCs/>
                <w:color w:val="000000"/>
              </w:rPr>
              <w:br/>
              <w:t>(in 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Tier 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525600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99.67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1734.48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$25,670,304.00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Tier III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525600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99.98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105.12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$1,555,776.00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Savings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1629.36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$24,114,528.00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</w:tbl>
    <w:p w:rsidR="00405A06" w:rsidRDefault="00405A06" w:rsidP="002407E8">
      <w:pPr>
        <w:pStyle w:val="NoSpacing"/>
        <w:ind w:firstLine="720"/>
        <w:rPr>
          <w:noProof/>
        </w:rPr>
      </w:pPr>
    </w:p>
    <w:p w:rsidR="00405A06" w:rsidRDefault="00405A06" w:rsidP="002407E8">
      <w:pPr>
        <w:pStyle w:val="NoSpacing"/>
        <w:ind w:firstLine="720"/>
        <w:rPr>
          <w:noProof/>
        </w:rPr>
      </w:pPr>
    </w:p>
    <w:p w:rsidR="00405A06" w:rsidRDefault="00405A06" w:rsidP="002407E8">
      <w:pPr>
        <w:pStyle w:val="NoSpacing"/>
        <w:ind w:firstLine="720"/>
        <w:rPr>
          <w:noProof/>
        </w:rPr>
      </w:pPr>
    </w:p>
    <w:p w:rsidR="00405A06" w:rsidRDefault="00405A06" w:rsidP="002407E8">
      <w:pPr>
        <w:pStyle w:val="NoSpacing"/>
        <w:ind w:firstLine="720"/>
        <w:rPr>
          <w:noProof/>
        </w:rPr>
      </w:pPr>
    </w:p>
    <w:p w:rsidR="00405A06" w:rsidRDefault="00405A06" w:rsidP="002407E8">
      <w:pPr>
        <w:pStyle w:val="NoSpacing"/>
        <w:ind w:firstLine="720"/>
        <w:rPr>
          <w:noProof/>
        </w:rPr>
      </w:pPr>
      <w:r>
        <w:rPr>
          <w:noProof/>
        </w:rPr>
        <w:t>Table 2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960"/>
        <w:gridCol w:w="1100"/>
        <w:gridCol w:w="2060"/>
        <w:gridCol w:w="1860"/>
        <w:gridCol w:w="1608"/>
        <w:gridCol w:w="2080"/>
        <w:gridCol w:w="960"/>
      </w:tblGrid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Net Benefit after 3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  Year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  Year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 xml:space="preserve">  Year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Cost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$35,000,000.00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$35,000,000.00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Benefit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$24,114,528.00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$24,114,528.00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$48,229,056.00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Net Benefit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6307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F63070">
              <w:rPr>
                <w:rFonts w:eastAsia="Times New Roman" w:cs="Calibri"/>
                <w:b/>
                <w:bCs/>
                <w:color w:val="000000"/>
              </w:rPr>
              <w:t>$13,229,056.00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3070" w:rsidRPr="00F63070" w:rsidTr="00F6307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70" w:rsidRPr="00F63070" w:rsidRDefault="00F63070" w:rsidP="00F63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17E6A" w:rsidRPr="00BA4520" w:rsidRDefault="00217E6A" w:rsidP="00F63070">
      <w:pPr>
        <w:spacing w:line="480" w:lineRule="auto"/>
        <w:jc w:val="center"/>
        <w:rPr>
          <w:rFonts w:ascii="Times New Roman" w:hAnsi="Times New Roman"/>
          <w:b/>
          <w:sz w:val="24"/>
          <w:u w:val="single"/>
        </w:rPr>
      </w:pPr>
      <w:r w:rsidRPr="00BA4520">
        <w:rPr>
          <w:rFonts w:ascii="Times New Roman" w:hAnsi="Times New Roman"/>
          <w:b/>
          <w:sz w:val="24"/>
          <w:u w:val="single"/>
        </w:rPr>
        <w:t>Works Referenced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 xml:space="preserve">"Data Center Site Infrastructure Tier Standard: Topology." Uptime Institutes. Web. 8 Sept. 2014. 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 xml:space="preserve">&lt; http://www.gpxglobal.net/wp-content/uploads/2012/10/TIERSTANDARD_Topology_120801.pdf &gt; 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>"2014 Strategic Road Map to the Intelligent Data Center." Gartner. Web. 8 Sept. 2014.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>&lt;http://my.gartner.com/portal/server.pt?open=512&amp;objID=260&amp;mode=2&amp;PageID=3460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>702&amp;resId=2717318&amp;ref=</w:t>
      </w:r>
      <w:proofErr w:type="spellStart"/>
      <w:r w:rsidRPr="006901AA">
        <w:rPr>
          <w:rFonts w:ascii="Times New Roman" w:hAnsi="Times New Roman"/>
        </w:rPr>
        <w:t>QuickSearch&amp;sthkw</w:t>
      </w:r>
      <w:proofErr w:type="spellEnd"/>
      <w:r w:rsidRPr="006901AA">
        <w:rPr>
          <w:rFonts w:ascii="Times New Roman" w:hAnsi="Times New Roman"/>
        </w:rPr>
        <w:t>=</w:t>
      </w:r>
      <w:proofErr w:type="spellStart"/>
      <w:r w:rsidRPr="006901AA">
        <w:rPr>
          <w:rFonts w:ascii="Times New Roman" w:hAnsi="Times New Roman"/>
        </w:rPr>
        <w:t>data+center+topology</w:t>
      </w:r>
      <w:proofErr w:type="spellEnd"/>
      <w:r w:rsidRPr="006901AA">
        <w:rPr>
          <w:rFonts w:ascii="Times New Roman" w:hAnsi="Times New Roman"/>
        </w:rPr>
        <w:t>&gt;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</w:p>
    <w:p w:rsidR="00217E6A" w:rsidRPr="006901AA" w:rsidRDefault="00217E6A" w:rsidP="00217E6A">
      <w:pPr>
        <w:pStyle w:val="Default"/>
        <w:rPr>
          <w:sz w:val="22"/>
          <w:szCs w:val="22"/>
        </w:rPr>
      </w:pPr>
      <w:r w:rsidRPr="006901AA">
        <w:rPr>
          <w:sz w:val="22"/>
          <w:szCs w:val="22"/>
        </w:rPr>
        <w:t xml:space="preserve">"Redundant Power Supply." </w:t>
      </w:r>
      <w:r w:rsidRPr="006901AA">
        <w:rPr>
          <w:i/>
          <w:iCs/>
          <w:sz w:val="22"/>
          <w:szCs w:val="22"/>
        </w:rPr>
        <w:t>WTI</w:t>
      </w:r>
      <w:r w:rsidR="00144877">
        <w:rPr>
          <w:sz w:val="22"/>
          <w:szCs w:val="22"/>
        </w:rPr>
        <w:t>. Western Telematic</w:t>
      </w:r>
      <w:r w:rsidRPr="006901AA">
        <w:rPr>
          <w:sz w:val="22"/>
          <w:szCs w:val="22"/>
        </w:rPr>
        <w:t xml:space="preserve">, n.d. Web. 08 Feb. 2017. </w:t>
      </w:r>
    </w:p>
    <w:p w:rsidR="00217E6A" w:rsidRPr="006901AA" w:rsidRDefault="00217E6A" w:rsidP="00217E6A">
      <w:pPr>
        <w:pStyle w:val="Default"/>
        <w:rPr>
          <w:sz w:val="22"/>
          <w:szCs w:val="22"/>
        </w:rPr>
      </w:pPr>
      <w:r w:rsidRPr="006901AA">
        <w:rPr>
          <w:sz w:val="22"/>
          <w:szCs w:val="22"/>
        </w:rPr>
        <w:t>&lt;</w:t>
      </w:r>
      <w:r w:rsidRPr="006901AA">
        <w:t xml:space="preserve"> </w:t>
      </w:r>
      <w:r w:rsidRPr="006901AA">
        <w:rPr>
          <w:sz w:val="22"/>
          <w:szCs w:val="22"/>
        </w:rPr>
        <w:t>https://www.wti.com/t-redundant-power-supply.aspx&gt;</w:t>
      </w:r>
    </w:p>
    <w:p w:rsidR="00217E6A" w:rsidRPr="006901AA" w:rsidRDefault="00217E6A" w:rsidP="00217E6A">
      <w:pPr>
        <w:pStyle w:val="Default"/>
        <w:rPr>
          <w:sz w:val="22"/>
          <w:szCs w:val="22"/>
        </w:rPr>
      </w:pPr>
    </w:p>
    <w:p w:rsidR="00217E6A" w:rsidRPr="006901AA" w:rsidRDefault="00217E6A" w:rsidP="00217E6A">
      <w:pPr>
        <w:pStyle w:val="Default"/>
        <w:rPr>
          <w:sz w:val="22"/>
          <w:szCs w:val="22"/>
        </w:rPr>
      </w:pPr>
      <w:r w:rsidRPr="006901AA">
        <w:rPr>
          <w:sz w:val="22"/>
          <w:szCs w:val="22"/>
        </w:rPr>
        <w:t xml:space="preserve">"Understanding Tier 3 and Tier 4." </w:t>
      </w:r>
      <w:r w:rsidRPr="006901AA">
        <w:rPr>
          <w:i/>
          <w:iCs/>
          <w:sz w:val="22"/>
          <w:szCs w:val="22"/>
        </w:rPr>
        <w:t>OVH</w:t>
      </w:r>
      <w:r w:rsidRPr="006901AA">
        <w:rPr>
          <w:sz w:val="22"/>
          <w:szCs w:val="22"/>
        </w:rPr>
        <w:t xml:space="preserve">. OVH, n.d. Web. 08 Feb. 2017. </w:t>
      </w:r>
    </w:p>
    <w:p w:rsidR="00217E6A" w:rsidRPr="006901AA" w:rsidRDefault="00217E6A" w:rsidP="00217E6A">
      <w:pPr>
        <w:pStyle w:val="Default"/>
        <w:rPr>
          <w:sz w:val="22"/>
          <w:szCs w:val="22"/>
        </w:rPr>
      </w:pPr>
      <w:r w:rsidRPr="006901AA">
        <w:rPr>
          <w:sz w:val="22"/>
          <w:szCs w:val="22"/>
        </w:rPr>
        <w:t>&lt;</w:t>
      </w:r>
      <w:r w:rsidRPr="006901AA">
        <w:t xml:space="preserve"> </w:t>
      </w:r>
      <w:r w:rsidRPr="006901AA">
        <w:rPr>
          <w:sz w:val="22"/>
          <w:szCs w:val="22"/>
        </w:rPr>
        <w:t>https://www.ovh.com/world/dedicated-servers/understanding-t3-t4.xml&gt;</w:t>
      </w:r>
    </w:p>
    <w:p w:rsidR="00217E6A" w:rsidRPr="006901AA" w:rsidRDefault="00217E6A" w:rsidP="00217E6A">
      <w:pPr>
        <w:pStyle w:val="Default"/>
        <w:rPr>
          <w:sz w:val="22"/>
          <w:szCs w:val="22"/>
        </w:rPr>
      </w:pP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 xml:space="preserve">"What is uninterruptible power supply (UPS)? - Definition from WhatIs.com." </w:t>
      </w:r>
      <w:proofErr w:type="spellStart"/>
      <w:r w:rsidRPr="006901AA">
        <w:rPr>
          <w:rFonts w:ascii="Times New Roman" w:hAnsi="Times New Roman"/>
          <w:i/>
          <w:iCs/>
        </w:rPr>
        <w:t>SearchDataCenter</w:t>
      </w:r>
      <w:proofErr w:type="spellEnd"/>
      <w:r w:rsidRPr="006901AA">
        <w:rPr>
          <w:rFonts w:ascii="Times New Roman" w:hAnsi="Times New Roman"/>
        </w:rPr>
        <w:t>. Tech Target, 2015. Web. 08 Feb. 2017.</w:t>
      </w:r>
    </w:p>
    <w:p w:rsidR="00217E6A" w:rsidRPr="006901AA" w:rsidRDefault="00217E6A" w:rsidP="00217E6A">
      <w:pPr>
        <w:pStyle w:val="NoSpacing"/>
        <w:rPr>
          <w:rFonts w:ascii="Times New Roman" w:hAnsi="Times New Roman"/>
        </w:rPr>
      </w:pPr>
      <w:r w:rsidRPr="006901AA">
        <w:rPr>
          <w:rFonts w:ascii="Times New Roman" w:hAnsi="Times New Roman"/>
        </w:rPr>
        <w:t>&lt; https://searchdatacenter.techtarget.com/definition/uninterruptible-power-supply&gt;</w:t>
      </w:r>
    </w:p>
    <w:p w:rsidR="00217E6A" w:rsidRPr="00B922CE" w:rsidRDefault="00217E6A" w:rsidP="00217E6A">
      <w:pPr>
        <w:pStyle w:val="NoSpacing"/>
        <w:rPr>
          <w:rFonts w:ascii="Times New Roman" w:hAnsi="Times New Roman"/>
          <w:sz w:val="24"/>
          <w:szCs w:val="24"/>
        </w:rPr>
      </w:pPr>
    </w:p>
    <w:sectPr w:rsidR="00217E6A" w:rsidRPr="00B9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3"/>
    <w:rsid w:val="000364AF"/>
    <w:rsid w:val="00063E4C"/>
    <w:rsid w:val="00144877"/>
    <w:rsid w:val="00180EFC"/>
    <w:rsid w:val="00217E6A"/>
    <w:rsid w:val="002407E8"/>
    <w:rsid w:val="00267DA3"/>
    <w:rsid w:val="0029403D"/>
    <w:rsid w:val="00331F12"/>
    <w:rsid w:val="00366A7C"/>
    <w:rsid w:val="003A02FB"/>
    <w:rsid w:val="00405A06"/>
    <w:rsid w:val="004258A6"/>
    <w:rsid w:val="004735ED"/>
    <w:rsid w:val="004A45F5"/>
    <w:rsid w:val="004D1ACD"/>
    <w:rsid w:val="0054232D"/>
    <w:rsid w:val="0056118F"/>
    <w:rsid w:val="005E6563"/>
    <w:rsid w:val="00645198"/>
    <w:rsid w:val="006901AA"/>
    <w:rsid w:val="006D5765"/>
    <w:rsid w:val="00712165"/>
    <w:rsid w:val="00752EDC"/>
    <w:rsid w:val="00821B39"/>
    <w:rsid w:val="0091219C"/>
    <w:rsid w:val="00B23862"/>
    <w:rsid w:val="00B7436C"/>
    <w:rsid w:val="00B922CE"/>
    <w:rsid w:val="00BA4520"/>
    <w:rsid w:val="00BD7F9F"/>
    <w:rsid w:val="00C353F3"/>
    <w:rsid w:val="00C839E6"/>
    <w:rsid w:val="00CA0ABC"/>
    <w:rsid w:val="00D12C83"/>
    <w:rsid w:val="00DE21F3"/>
    <w:rsid w:val="00E86707"/>
    <w:rsid w:val="00EB421D"/>
    <w:rsid w:val="00F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5603"/>
  <w15:chartTrackingRefBased/>
  <w15:docId w15:val="{BB638FFA-2337-470C-B6F2-2C1F4F5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2CE"/>
    <w:rPr>
      <w:color w:val="0000FF"/>
      <w:u w:val="single"/>
    </w:rPr>
  </w:style>
  <w:style w:type="paragraph" w:styleId="NoSpacing">
    <w:name w:val="No Spacing"/>
    <w:uiPriority w:val="1"/>
    <w:qFormat/>
    <w:rsid w:val="00B922CE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364AF"/>
    <w:rPr>
      <w:color w:val="800080"/>
      <w:u w:val="single"/>
    </w:rPr>
  </w:style>
  <w:style w:type="paragraph" w:customStyle="1" w:styleId="Default">
    <w:name w:val="Default"/>
    <w:rsid w:val="005E65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Vikrant</dc:creator>
  <cp:keywords/>
  <cp:lastModifiedBy>Vikrant Gokhale</cp:lastModifiedBy>
  <cp:revision>13</cp:revision>
  <dcterms:created xsi:type="dcterms:W3CDTF">2018-10-10T22:52:00Z</dcterms:created>
  <dcterms:modified xsi:type="dcterms:W3CDTF">2018-10-11T00:23:00Z</dcterms:modified>
</cp:coreProperties>
</file>