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7B" w:rsidRDefault="006D4D7B" w:rsidP="006D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Xiaozhou Y</w:t>
      </w:r>
      <w:r>
        <w:rPr>
          <w:rFonts w:ascii="Times New Roman" w:hAnsi="Times New Roman" w:cs="Times New Roman" w:hint="eastAsia"/>
          <w:sz w:val="24"/>
          <w:szCs w:val="24"/>
        </w:rPr>
        <w:t>u</w:t>
      </w:r>
    </w:p>
    <w:p w:rsidR="006D4D7B" w:rsidRDefault="006D4D7B" w:rsidP="006D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2501</w:t>
      </w:r>
    </w:p>
    <w:p w:rsidR="006D4D7B" w:rsidRDefault="006D4D7B" w:rsidP="006D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lash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search Paper #1</w:t>
      </w:r>
    </w:p>
    <w:p w:rsidR="001C34BA" w:rsidRPr="00747765" w:rsidRDefault="000F59A2" w:rsidP="00CD6AF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765">
        <w:rPr>
          <w:rFonts w:ascii="Times New Roman" w:hAnsi="Times New Roman" w:cs="Times New Roman"/>
          <w:sz w:val="24"/>
          <w:szCs w:val="24"/>
        </w:rPr>
        <w:t>Data Centers and Networking</w:t>
      </w:r>
    </w:p>
    <w:p w:rsidR="00747765" w:rsidRDefault="00747765" w:rsidP="00FC57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47765">
        <w:rPr>
          <w:rFonts w:ascii="Times New Roman" w:hAnsi="Times New Roman" w:cs="Times New Roman"/>
          <w:sz w:val="24"/>
          <w:szCs w:val="24"/>
        </w:rPr>
        <w:t>Our company will gain over $</w:t>
      </w:r>
      <w:r w:rsidR="00C43993">
        <w:rPr>
          <w:rFonts w:ascii="Times New Roman" w:hAnsi="Times New Roman" w:cs="Times New Roman"/>
          <w:sz w:val="24"/>
          <w:szCs w:val="24"/>
        </w:rPr>
        <w:t>13</w:t>
      </w:r>
      <w:r w:rsidRPr="00747765">
        <w:rPr>
          <w:rFonts w:ascii="Times New Roman" w:hAnsi="Times New Roman" w:cs="Times New Roman"/>
          <w:sz w:val="24"/>
          <w:szCs w:val="24"/>
        </w:rPr>
        <w:t xml:space="preserve">M </w:t>
      </w:r>
      <w:r w:rsidR="00C43993">
        <w:rPr>
          <w:rFonts w:ascii="Times New Roman" w:hAnsi="Times New Roman" w:cs="Times New Roman"/>
          <w:sz w:val="24"/>
          <w:szCs w:val="24"/>
        </w:rPr>
        <w:t xml:space="preserve">net </w:t>
      </w:r>
      <w:r w:rsidRPr="00747765">
        <w:rPr>
          <w:rFonts w:ascii="Times New Roman" w:hAnsi="Times New Roman" w:cs="Times New Roman"/>
          <w:sz w:val="24"/>
          <w:szCs w:val="24"/>
        </w:rPr>
        <w:t xml:space="preserve">benefit </w:t>
      </w:r>
      <w:r>
        <w:rPr>
          <w:rFonts w:ascii="Times New Roman" w:hAnsi="Times New Roman" w:cs="Times New Roman"/>
          <w:sz w:val="24"/>
          <w:szCs w:val="24"/>
        </w:rPr>
        <w:t>over three-</w:t>
      </w:r>
      <w:r w:rsidRPr="00747765">
        <w:rPr>
          <w:rFonts w:ascii="Times New Roman" w:hAnsi="Times New Roman" w:cs="Times New Roman"/>
          <w:sz w:val="24"/>
          <w:szCs w:val="24"/>
        </w:rPr>
        <w:t>year period with the installation of a “Tier III” data center</w:t>
      </w:r>
      <w:r w:rsidR="00203235">
        <w:rPr>
          <w:rFonts w:ascii="Times New Roman" w:hAnsi="Times New Roman" w:cs="Times New Roman"/>
          <w:sz w:val="24"/>
          <w:szCs w:val="24"/>
        </w:rPr>
        <w:t>. The new</w:t>
      </w:r>
      <w:r w:rsidR="00CD6AF7">
        <w:rPr>
          <w:rFonts w:ascii="Times New Roman" w:hAnsi="Times New Roman" w:cs="Times New Roman"/>
          <w:sz w:val="24"/>
          <w:szCs w:val="24"/>
        </w:rPr>
        <w:t xml:space="preserve"> data center will help us avoid the unscheduled </w:t>
      </w:r>
      <w:r w:rsidR="005D20FE">
        <w:rPr>
          <w:rFonts w:ascii="Times New Roman" w:hAnsi="Times New Roman" w:cs="Times New Roman"/>
          <w:sz w:val="24"/>
          <w:szCs w:val="24"/>
        </w:rPr>
        <w:t>system disruption</w:t>
      </w:r>
      <w:r w:rsidR="001044E9">
        <w:rPr>
          <w:rFonts w:ascii="Times New Roman" w:hAnsi="Times New Roman" w:cs="Times New Roman"/>
          <w:sz w:val="24"/>
          <w:szCs w:val="24"/>
        </w:rPr>
        <w:t xml:space="preserve"> and </w:t>
      </w:r>
      <w:r w:rsidR="005D20FE">
        <w:rPr>
          <w:rFonts w:ascii="Times New Roman" w:hAnsi="Times New Roman" w:cs="Times New Roman"/>
          <w:sz w:val="24"/>
          <w:szCs w:val="24"/>
        </w:rPr>
        <w:t>keep the business under regular operations</w:t>
      </w:r>
      <w:r w:rsidR="001044E9">
        <w:rPr>
          <w:rFonts w:ascii="Times New Roman" w:hAnsi="Times New Roman" w:cs="Times New Roman"/>
          <w:sz w:val="24"/>
          <w:szCs w:val="24"/>
        </w:rPr>
        <w:t xml:space="preserve"> when </w:t>
      </w:r>
      <w:r w:rsidR="005D20FE">
        <w:rPr>
          <w:rFonts w:ascii="Times New Roman" w:hAnsi="Times New Roman" w:cs="Times New Roman"/>
          <w:sz w:val="24"/>
          <w:szCs w:val="24"/>
        </w:rPr>
        <w:t>system requires maintenance.</w:t>
      </w:r>
      <w:r w:rsidR="004D4AE9">
        <w:rPr>
          <w:rFonts w:ascii="Times New Roman" w:hAnsi="Times New Roman" w:cs="Times New Roman"/>
          <w:sz w:val="24"/>
          <w:szCs w:val="24"/>
        </w:rPr>
        <w:t xml:space="preserve"> </w:t>
      </w:r>
      <w:r w:rsidR="00203235">
        <w:rPr>
          <w:rFonts w:ascii="Times New Roman" w:hAnsi="Times New Roman" w:cs="Times New Roman"/>
          <w:sz w:val="24"/>
          <w:szCs w:val="24"/>
        </w:rPr>
        <w:t>A $35M</w:t>
      </w:r>
      <w:r w:rsidR="004D4AE9">
        <w:rPr>
          <w:rFonts w:ascii="Times New Roman" w:hAnsi="Times New Roman" w:cs="Times New Roman"/>
          <w:sz w:val="24"/>
          <w:szCs w:val="24"/>
        </w:rPr>
        <w:t xml:space="preserve"> investment on </w:t>
      </w:r>
      <w:r w:rsidR="00203235">
        <w:rPr>
          <w:rFonts w:ascii="Times New Roman" w:hAnsi="Times New Roman" w:cs="Times New Roman"/>
          <w:sz w:val="24"/>
          <w:szCs w:val="24"/>
        </w:rPr>
        <w:t>this</w:t>
      </w:r>
      <w:r w:rsidR="004D4AE9">
        <w:rPr>
          <w:rFonts w:ascii="Times New Roman" w:hAnsi="Times New Roman" w:cs="Times New Roman"/>
          <w:sz w:val="24"/>
          <w:szCs w:val="24"/>
        </w:rPr>
        <w:t xml:space="preserve"> powerful data center will enhance our business operation efficiency and mitigate the risk of system downtime</w:t>
      </w:r>
      <w:r w:rsidR="00203235">
        <w:rPr>
          <w:rFonts w:ascii="Times New Roman" w:hAnsi="Times New Roman" w:cs="Times New Roman"/>
          <w:sz w:val="24"/>
          <w:szCs w:val="24"/>
        </w:rPr>
        <w:t>.</w:t>
      </w:r>
    </w:p>
    <w:p w:rsidR="00B01B47" w:rsidRDefault="0006017D" w:rsidP="00B01B4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“Tier III” data center </w:t>
      </w:r>
      <w:r w:rsidR="007D030B">
        <w:rPr>
          <w:rFonts w:ascii="Times New Roman" w:hAnsi="Times New Roman" w:cs="Times New Roman"/>
          <w:sz w:val="24"/>
          <w:szCs w:val="24"/>
        </w:rPr>
        <w:t xml:space="preserve">is an </w:t>
      </w:r>
      <w:r>
        <w:rPr>
          <w:rFonts w:ascii="Times New Roman" w:hAnsi="Times New Roman" w:cs="Times New Roman"/>
          <w:sz w:val="24"/>
          <w:szCs w:val="24"/>
        </w:rPr>
        <w:t xml:space="preserve">infrastructure that contains redundant </w:t>
      </w:r>
      <w:r w:rsidR="001044E9">
        <w:rPr>
          <w:rFonts w:ascii="Times New Roman" w:hAnsi="Times New Roman" w:cs="Times New Roman"/>
          <w:sz w:val="24"/>
          <w:szCs w:val="24"/>
        </w:rPr>
        <w:t xml:space="preserve">capacity </w:t>
      </w:r>
      <w:r>
        <w:rPr>
          <w:rFonts w:ascii="Times New Roman" w:hAnsi="Times New Roman" w:cs="Times New Roman"/>
          <w:sz w:val="24"/>
          <w:szCs w:val="24"/>
        </w:rPr>
        <w:t xml:space="preserve">components and multiple </w:t>
      </w:r>
      <w:r w:rsidR="001044E9">
        <w:rPr>
          <w:rFonts w:ascii="Times New Roman" w:hAnsi="Times New Roman" w:cs="Times New Roman"/>
          <w:sz w:val="24"/>
          <w:szCs w:val="24"/>
        </w:rPr>
        <w:t>independent distribution paths</w:t>
      </w:r>
      <w:r w:rsidR="007D030B">
        <w:rPr>
          <w:rFonts w:ascii="Times New Roman" w:hAnsi="Times New Roman" w:cs="Times New Roman"/>
          <w:sz w:val="24"/>
          <w:szCs w:val="24"/>
        </w:rPr>
        <w:t>, which allows concurrent maintenance</w:t>
      </w:r>
      <w:r w:rsidR="006B01E3">
        <w:rPr>
          <w:rFonts w:ascii="Times New Roman" w:hAnsi="Times New Roman" w:cs="Times New Roman"/>
          <w:sz w:val="24"/>
          <w:szCs w:val="24"/>
        </w:rPr>
        <w:t xml:space="preserve"> (</w:t>
      </w:r>
      <w:r w:rsidR="00203235">
        <w:rPr>
          <w:rFonts w:ascii="Times New Roman" w:hAnsi="Times New Roman" w:cs="Times New Roman"/>
          <w:sz w:val="24"/>
          <w:szCs w:val="24"/>
        </w:rPr>
        <w:t xml:space="preserve">Uptime Institute </w:t>
      </w:r>
      <w:r w:rsidR="006B01E3">
        <w:rPr>
          <w:rFonts w:ascii="Times New Roman" w:hAnsi="Times New Roman" w:cs="Times New Roman"/>
          <w:sz w:val="24"/>
          <w:szCs w:val="24"/>
        </w:rPr>
        <w:t>2012)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44E9">
        <w:rPr>
          <w:rFonts w:ascii="Times New Roman" w:hAnsi="Times New Roman" w:cs="Times New Roman"/>
          <w:sz w:val="24"/>
          <w:szCs w:val="24"/>
        </w:rPr>
        <w:t xml:space="preserve"> </w:t>
      </w:r>
      <w:r w:rsidR="006B01E3">
        <w:rPr>
          <w:rFonts w:ascii="Times New Roman" w:hAnsi="Times New Roman" w:cs="Times New Roman"/>
          <w:sz w:val="24"/>
          <w:szCs w:val="24"/>
        </w:rPr>
        <w:t xml:space="preserve">In contrast to “Tier I”, the current data center infrastructure we have, “Tier III” </w:t>
      </w:r>
      <w:r w:rsidR="00B01B47">
        <w:rPr>
          <w:rFonts w:ascii="Times New Roman" w:hAnsi="Times New Roman" w:cs="Times New Roman"/>
          <w:sz w:val="24"/>
          <w:szCs w:val="24"/>
        </w:rPr>
        <w:t>allows us</w:t>
      </w:r>
      <w:r w:rsidR="00006255">
        <w:rPr>
          <w:rFonts w:ascii="Times New Roman" w:hAnsi="Times New Roman" w:cs="Times New Roman" w:hint="eastAsia"/>
          <w:sz w:val="24"/>
          <w:szCs w:val="24"/>
        </w:rPr>
        <w:t xml:space="preserve"> remove any</w:t>
      </w:r>
      <w:r w:rsidR="00006255">
        <w:rPr>
          <w:rFonts w:ascii="Times New Roman" w:hAnsi="Times New Roman" w:cs="Times New Roman"/>
          <w:sz w:val="24"/>
          <w:szCs w:val="24"/>
        </w:rPr>
        <w:t xml:space="preserve"> </w:t>
      </w:r>
      <w:r w:rsidR="001044E9">
        <w:rPr>
          <w:rFonts w:ascii="Times New Roman" w:hAnsi="Times New Roman" w:cs="Times New Roman"/>
          <w:sz w:val="24"/>
          <w:szCs w:val="24"/>
        </w:rPr>
        <w:t xml:space="preserve">capacity </w:t>
      </w:r>
      <w:r w:rsidR="00203235">
        <w:rPr>
          <w:rFonts w:ascii="Times New Roman" w:hAnsi="Times New Roman" w:cs="Times New Roman"/>
          <w:sz w:val="24"/>
          <w:szCs w:val="24"/>
        </w:rPr>
        <w:t>component in</w:t>
      </w:r>
      <w:r w:rsidR="001044E9">
        <w:rPr>
          <w:rFonts w:ascii="Times New Roman" w:hAnsi="Times New Roman" w:cs="Times New Roman"/>
          <w:sz w:val="24"/>
          <w:szCs w:val="24"/>
        </w:rPr>
        <w:t xml:space="preserve"> distribution paths from service on a planned basis, </w:t>
      </w:r>
      <w:r w:rsidR="00203235">
        <w:rPr>
          <w:rFonts w:ascii="Times New Roman" w:hAnsi="Times New Roman" w:cs="Times New Roman"/>
          <w:sz w:val="24"/>
          <w:szCs w:val="24"/>
        </w:rPr>
        <w:t>allowing</w:t>
      </w:r>
      <w:r>
        <w:rPr>
          <w:rFonts w:ascii="Times New Roman" w:hAnsi="Times New Roman" w:cs="Times New Roman"/>
          <w:sz w:val="24"/>
          <w:szCs w:val="24"/>
        </w:rPr>
        <w:t xml:space="preserve"> maintenance of the system without </w:t>
      </w:r>
      <w:r w:rsidR="005D7663">
        <w:rPr>
          <w:rFonts w:ascii="Times New Roman" w:hAnsi="Times New Roman" w:cs="Times New Roman"/>
          <w:sz w:val="24"/>
          <w:szCs w:val="24"/>
        </w:rPr>
        <w:t>interruptions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1B47">
        <w:rPr>
          <w:rFonts w:ascii="Times New Roman" w:hAnsi="Times New Roman" w:cs="Times New Roman"/>
          <w:sz w:val="24"/>
          <w:szCs w:val="24"/>
        </w:rPr>
        <w:t xml:space="preserve"> In case of unexpected system failure, our business will regularly operate, having enough time to fix the issue. </w:t>
      </w:r>
    </w:p>
    <w:p w:rsidR="00FC57BD" w:rsidRDefault="005D7663" w:rsidP="00FC57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$35M initial implementation cost, our company will gain $</w:t>
      </w:r>
      <w:r w:rsidR="00FC57BD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M benefit over three years</w:t>
      </w:r>
      <w:r w:rsidR="00FC57BD">
        <w:rPr>
          <w:rFonts w:ascii="Times New Roman" w:hAnsi="Times New Roman" w:cs="Times New Roman"/>
          <w:sz w:val="24"/>
          <w:szCs w:val="24"/>
        </w:rPr>
        <w:t>, that is $13M net benefit</w:t>
      </w:r>
      <w:r w:rsidR="006049C7">
        <w:rPr>
          <w:rFonts w:ascii="Times New Roman" w:hAnsi="Times New Roman" w:cs="Times New Roman"/>
          <w:sz w:val="24"/>
          <w:szCs w:val="24"/>
        </w:rPr>
        <w:t xml:space="preserve"> (Appendix a)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9C7" w:rsidRPr="006049C7">
        <w:rPr>
          <w:rFonts w:ascii="Times New Roman" w:hAnsi="Times New Roman" w:cs="Times New Roman"/>
          <w:sz w:val="24"/>
          <w:szCs w:val="24"/>
        </w:rPr>
        <w:t xml:space="preserve"> </w:t>
      </w:r>
      <w:r w:rsidR="006049C7">
        <w:rPr>
          <w:rFonts w:ascii="Times New Roman" w:hAnsi="Times New Roman" w:cs="Times New Roman"/>
          <w:sz w:val="24"/>
          <w:szCs w:val="24"/>
        </w:rPr>
        <w:t>Overall, we will gain financial benefits from installing “Tier III” data center</w:t>
      </w:r>
      <w:r w:rsidR="00203235">
        <w:rPr>
          <w:rFonts w:ascii="Times New Roman" w:hAnsi="Times New Roman" w:cs="Times New Roman"/>
          <w:sz w:val="24"/>
          <w:szCs w:val="24"/>
        </w:rPr>
        <w:t xml:space="preserve"> and</w:t>
      </w:r>
      <w:r w:rsidR="006049C7">
        <w:rPr>
          <w:rFonts w:ascii="Times New Roman" w:hAnsi="Times New Roman" w:cs="Times New Roman"/>
          <w:sz w:val="24"/>
          <w:szCs w:val="24"/>
        </w:rPr>
        <w:t xml:space="preserve"> </w:t>
      </w:r>
      <w:r w:rsidR="006049C7" w:rsidRPr="006049C7">
        <w:rPr>
          <w:rFonts w:ascii="Times New Roman" w:hAnsi="Times New Roman" w:cs="Times New Roman"/>
          <w:sz w:val="24"/>
          <w:szCs w:val="24"/>
        </w:rPr>
        <w:t xml:space="preserve">mitigate </w:t>
      </w:r>
      <w:r w:rsidR="006049C7">
        <w:rPr>
          <w:rFonts w:ascii="Times New Roman" w:hAnsi="Times New Roman" w:cs="Times New Roman"/>
          <w:sz w:val="24"/>
          <w:szCs w:val="24"/>
        </w:rPr>
        <w:t xml:space="preserve">potential </w:t>
      </w:r>
      <w:r w:rsidR="00203235">
        <w:rPr>
          <w:rFonts w:ascii="Times New Roman" w:hAnsi="Times New Roman" w:cs="Times New Roman"/>
          <w:sz w:val="24"/>
          <w:szCs w:val="24"/>
        </w:rPr>
        <w:t>system outages</w:t>
      </w:r>
      <w:r w:rsidR="006049C7" w:rsidRPr="006049C7">
        <w:rPr>
          <w:rFonts w:ascii="Times New Roman" w:hAnsi="Times New Roman" w:cs="Times New Roman"/>
          <w:sz w:val="24"/>
          <w:szCs w:val="24"/>
        </w:rPr>
        <w:t>.</w:t>
      </w:r>
    </w:p>
    <w:p w:rsidR="00203235" w:rsidRDefault="00203235" w:rsidP="00FC57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01B47" w:rsidRDefault="00B01B47" w:rsidP="00FC57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01B47" w:rsidRDefault="00B01B47" w:rsidP="00FC57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01B47" w:rsidRDefault="00B01B47" w:rsidP="00FC57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03235" w:rsidRDefault="00203235" w:rsidP="006D4D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4AE9" w:rsidRDefault="004D4AE9" w:rsidP="0060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604C83" w:rsidRDefault="00604C83" w:rsidP="0060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C7" w:rsidRDefault="00EC59C7" w:rsidP="0060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3">
        <w:rPr>
          <w:rFonts w:ascii="Times New Roman" w:hAnsi="Times New Roman" w:cs="Times New Roman"/>
          <w:i/>
          <w:sz w:val="24"/>
          <w:szCs w:val="24"/>
        </w:rPr>
        <w:t>Data Center Site Infrastructure Tier Standard: Topology</w:t>
      </w:r>
      <w:r>
        <w:rPr>
          <w:rFonts w:ascii="Times New Roman" w:hAnsi="Times New Roman" w:cs="Times New Roman"/>
          <w:sz w:val="24"/>
          <w:szCs w:val="24"/>
        </w:rPr>
        <w:t xml:space="preserve"> (October, 2012), Uptime Institute, LLC. </w:t>
      </w:r>
    </w:p>
    <w:p w:rsidR="00604C83" w:rsidRDefault="00604C83" w:rsidP="0060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AE9" w:rsidRDefault="004D4AE9" w:rsidP="0060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Perlin (September,2012). </w:t>
      </w:r>
      <w:r w:rsidRPr="00EC59C7">
        <w:rPr>
          <w:rFonts w:ascii="Times New Roman" w:hAnsi="Times New Roman" w:cs="Times New Roman"/>
          <w:i/>
          <w:sz w:val="24"/>
          <w:szCs w:val="24"/>
        </w:rPr>
        <w:t>Downtime, Outages and Failures - Understanding Their True Costs</w:t>
      </w:r>
      <w:r>
        <w:rPr>
          <w:rFonts w:ascii="Times New Roman" w:hAnsi="Times New Roman" w:cs="Times New Roman"/>
          <w:sz w:val="24"/>
          <w:szCs w:val="24"/>
        </w:rPr>
        <w:t xml:space="preserve">, Retrieved from </w:t>
      </w:r>
      <w:r w:rsidR="00EC59C7" w:rsidRPr="008B639E">
        <w:rPr>
          <w:rFonts w:ascii="Times New Roman" w:hAnsi="Times New Roman" w:cs="Times New Roman"/>
          <w:sz w:val="24"/>
          <w:szCs w:val="24"/>
        </w:rPr>
        <w:t>http://www.evolven.com/blog/downtime-outages-and-failures-understanding-their-true-costs.html</w:t>
      </w:r>
    </w:p>
    <w:p w:rsidR="00604C83" w:rsidRDefault="00604C83" w:rsidP="0060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C7" w:rsidRDefault="00EC59C7" w:rsidP="0060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9C7">
        <w:rPr>
          <w:rFonts w:ascii="Times New Roman" w:hAnsi="Times New Roman" w:cs="Times New Roman"/>
          <w:i/>
          <w:sz w:val="24"/>
          <w:szCs w:val="24"/>
        </w:rPr>
        <w:t>Understanding Tier 3 and Tier 4</w:t>
      </w:r>
      <w:r w:rsidR="00604C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04C83">
        <w:rPr>
          <w:rFonts w:ascii="Times New Roman" w:hAnsi="Times New Roman" w:cs="Times New Roman"/>
          <w:sz w:val="24"/>
          <w:szCs w:val="24"/>
        </w:rPr>
        <w:t xml:space="preserve">OVH. Retrieved from </w:t>
      </w:r>
      <w:r w:rsidR="00604C83" w:rsidRPr="008B639E">
        <w:rPr>
          <w:rFonts w:ascii="Times New Roman" w:hAnsi="Times New Roman" w:cs="Times New Roman"/>
          <w:sz w:val="24"/>
          <w:szCs w:val="24"/>
        </w:rPr>
        <w:t>https://www.ovh.com/us/dedicated-servers/understanding-t3-t4.xml</w:t>
      </w:r>
      <w:r w:rsidR="00604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83" w:rsidRPr="00604C83" w:rsidRDefault="00604C83" w:rsidP="0060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C7" w:rsidRDefault="006049C7" w:rsidP="006049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a</w:t>
      </w:r>
    </w:p>
    <w:tbl>
      <w:tblPr>
        <w:tblStyle w:val="TableGrid"/>
        <w:tblW w:w="7500" w:type="dxa"/>
        <w:tblLook w:val="04A0" w:firstRow="1" w:lastRow="0" w:firstColumn="1" w:lastColumn="0" w:noHBand="0" w:noVBand="1"/>
      </w:tblPr>
      <w:tblGrid>
        <w:gridCol w:w="960"/>
        <w:gridCol w:w="1439"/>
        <w:gridCol w:w="1380"/>
        <w:gridCol w:w="1380"/>
        <w:gridCol w:w="1380"/>
        <w:gridCol w:w="1368"/>
      </w:tblGrid>
      <w:tr w:rsidR="0006017D" w:rsidRPr="0006017D" w:rsidTr="0006017D">
        <w:trPr>
          <w:trHeight w:val="288"/>
        </w:trPr>
        <w:tc>
          <w:tcPr>
            <w:tcW w:w="96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06017D">
              <w:rPr>
                <w:rFonts w:ascii="Calibri" w:eastAsia="Times New Roman" w:hAnsi="Calibri" w:cs="Calibri"/>
                <w:color w:val="000000"/>
              </w:rPr>
              <w:t>inutes</w:t>
            </w:r>
            <w:r>
              <w:rPr>
                <w:rFonts w:ascii="Calibri" w:eastAsia="Times New Roman" w:hAnsi="Calibri" w:cs="Calibri"/>
                <w:color w:val="000000"/>
              </w:rPr>
              <w:t>/Y</w:t>
            </w:r>
            <w:r w:rsidRPr="0006017D">
              <w:rPr>
                <w:rFonts w:ascii="Calibri" w:eastAsia="Times New Roman" w:hAnsi="Calibri" w:cs="Calibri"/>
                <w:color w:val="000000"/>
              </w:rPr>
              <w:t>ear</w:t>
            </w:r>
          </w:p>
        </w:tc>
        <w:tc>
          <w:tcPr>
            <w:tcW w:w="130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06017D">
              <w:rPr>
                <w:rFonts w:ascii="Calibri" w:eastAsia="Times New Roman" w:hAnsi="Calibri" w:cs="Calibri"/>
                <w:color w:val="000000"/>
              </w:rPr>
              <w:t>vailability</w:t>
            </w:r>
          </w:p>
        </w:tc>
        <w:tc>
          <w:tcPr>
            <w:tcW w:w="130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06017D">
              <w:rPr>
                <w:rFonts w:ascii="Calibri" w:eastAsia="Times New Roman" w:hAnsi="Calibri" w:cs="Calibri"/>
                <w:color w:val="000000"/>
              </w:rPr>
              <w:t>owntime</w:t>
            </w:r>
          </w:p>
        </w:tc>
        <w:tc>
          <w:tcPr>
            <w:tcW w:w="138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06017D">
              <w:rPr>
                <w:rFonts w:ascii="Calibri" w:eastAsia="Times New Roman" w:hAnsi="Calibri" w:cs="Calibri"/>
                <w:color w:val="000000"/>
              </w:rPr>
              <w:t>ost/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06017D">
              <w:rPr>
                <w:rFonts w:ascii="Calibri" w:eastAsia="Times New Roman" w:hAnsi="Calibri" w:cs="Calibri"/>
                <w:color w:val="000000"/>
              </w:rPr>
              <w:t>inute</w:t>
            </w:r>
          </w:p>
        </w:tc>
        <w:tc>
          <w:tcPr>
            <w:tcW w:w="128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06017D">
              <w:rPr>
                <w:rFonts w:ascii="Calibri" w:eastAsia="Times New Roman" w:hAnsi="Calibri" w:cs="Calibri"/>
                <w:color w:val="000000"/>
              </w:rPr>
              <w:t>ost</w:t>
            </w:r>
          </w:p>
        </w:tc>
      </w:tr>
      <w:tr w:rsidR="0006017D" w:rsidRPr="0006017D" w:rsidTr="0006017D">
        <w:trPr>
          <w:trHeight w:val="288"/>
        </w:trPr>
        <w:tc>
          <w:tcPr>
            <w:tcW w:w="96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Tier I</w:t>
            </w:r>
          </w:p>
        </w:tc>
        <w:tc>
          <w:tcPr>
            <w:tcW w:w="128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526600</w:t>
            </w:r>
          </w:p>
        </w:tc>
        <w:tc>
          <w:tcPr>
            <w:tcW w:w="130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99.67%</w:t>
            </w:r>
          </w:p>
        </w:tc>
        <w:tc>
          <w:tcPr>
            <w:tcW w:w="130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1737.78</w:t>
            </w:r>
          </w:p>
        </w:tc>
        <w:tc>
          <w:tcPr>
            <w:tcW w:w="138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$14,800</w:t>
            </w:r>
          </w:p>
        </w:tc>
        <w:tc>
          <w:tcPr>
            <w:tcW w:w="128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$25,719,144</w:t>
            </w:r>
          </w:p>
        </w:tc>
      </w:tr>
      <w:tr w:rsidR="0006017D" w:rsidRPr="0006017D" w:rsidTr="0006017D">
        <w:trPr>
          <w:trHeight w:val="288"/>
        </w:trPr>
        <w:tc>
          <w:tcPr>
            <w:tcW w:w="96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Tier III</w:t>
            </w:r>
          </w:p>
        </w:tc>
        <w:tc>
          <w:tcPr>
            <w:tcW w:w="128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526600</w:t>
            </w:r>
          </w:p>
        </w:tc>
        <w:tc>
          <w:tcPr>
            <w:tcW w:w="130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99.98%</w:t>
            </w:r>
          </w:p>
        </w:tc>
        <w:tc>
          <w:tcPr>
            <w:tcW w:w="130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105.32</w:t>
            </w:r>
          </w:p>
        </w:tc>
        <w:tc>
          <w:tcPr>
            <w:tcW w:w="138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$14,800</w:t>
            </w:r>
          </w:p>
        </w:tc>
        <w:tc>
          <w:tcPr>
            <w:tcW w:w="128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$   1,558,736</w:t>
            </w:r>
          </w:p>
        </w:tc>
      </w:tr>
      <w:tr w:rsidR="0006017D" w:rsidRPr="0006017D" w:rsidTr="005D7663">
        <w:trPr>
          <w:trHeight w:val="288"/>
        </w:trPr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06017D">
              <w:rPr>
                <w:rFonts w:ascii="Calibri" w:eastAsia="Times New Roman" w:hAnsi="Calibri" w:cs="Calibri"/>
                <w:color w:val="000000"/>
              </w:rPr>
              <w:t>aving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$24,160,408</w:t>
            </w:r>
          </w:p>
        </w:tc>
      </w:tr>
      <w:tr w:rsidR="005D7663" w:rsidRPr="0006017D" w:rsidTr="005D7663">
        <w:trPr>
          <w:trHeight w:val="288"/>
        </w:trPr>
        <w:tc>
          <w:tcPr>
            <w:tcW w:w="960" w:type="dxa"/>
            <w:tcBorders>
              <w:right w:val="nil"/>
            </w:tcBorders>
            <w:shd w:val="clear" w:color="auto" w:fill="auto"/>
            <w:noWrap/>
          </w:tcPr>
          <w:p w:rsidR="005D7663" w:rsidRPr="0006017D" w:rsidRDefault="005D7663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auto"/>
            <w:noWrap/>
          </w:tcPr>
          <w:p w:rsidR="005D7663" w:rsidRPr="0006017D" w:rsidRDefault="005D7663" w:rsidP="005D76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</w:tcPr>
          <w:p w:rsidR="005D7663" w:rsidRPr="0006017D" w:rsidRDefault="005D7663" w:rsidP="005D76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</w:tcPr>
          <w:p w:rsidR="005D7663" w:rsidRPr="0006017D" w:rsidRDefault="005D7663" w:rsidP="005D76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  <w:noWrap/>
          </w:tcPr>
          <w:p w:rsidR="005D7663" w:rsidRDefault="005D7663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left w:val="nil"/>
            </w:tcBorders>
            <w:shd w:val="clear" w:color="auto" w:fill="auto"/>
            <w:noWrap/>
          </w:tcPr>
          <w:p w:rsidR="005D7663" w:rsidRPr="0006017D" w:rsidRDefault="005D7663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017D" w:rsidRPr="0006017D" w:rsidTr="0006017D">
        <w:trPr>
          <w:trHeight w:val="288"/>
        </w:trPr>
        <w:tc>
          <w:tcPr>
            <w:tcW w:w="96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</w:t>
            </w:r>
            <w:r w:rsidRPr="0006017D">
              <w:rPr>
                <w:rFonts w:ascii="Calibri" w:eastAsia="Times New Roman" w:hAnsi="Calibri" w:cs="Calibri"/>
                <w:color w:val="000000"/>
              </w:rPr>
              <w:t>ear</w:t>
            </w:r>
          </w:p>
        </w:tc>
        <w:tc>
          <w:tcPr>
            <w:tcW w:w="128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06017D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  <w:tc>
          <w:tcPr>
            <w:tcW w:w="128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017D" w:rsidRPr="0006017D" w:rsidTr="0006017D">
        <w:trPr>
          <w:trHeight w:val="288"/>
        </w:trPr>
        <w:tc>
          <w:tcPr>
            <w:tcW w:w="96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06017D">
              <w:rPr>
                <w:rFonts w:ascii="Calibri" w:eastAsia="Times New Roman" w:hAnsi="Calibri" w:cs="Calibri"/>
                <w:color w:val="000000"/>
              </w:rPr>
              <w:t>ost</w:t>
            </w:r>
          </w:p>
        </w:tc>
        <w:tc>
          <w:tcPr>
            <w:tcW w:w="128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$35,000,000</w:t>
            </w:r>
          </w:p>
        </w:tc>
        <w:tc>
          <w:tcPr>
            <w:tcW w:w="130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06017D" w:rsidRPr="0006017D" w:rsidRDefault="005D7663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</w:t>
            </w:r>
            <w:r w:rsidR="0006017D" w:rsidRPr="0006017D">
              <w:rPr>
                <w:rFonts w:ascii="Calibri" w:eastAsia="Times New Roman" w:hAnsi="Calibri" w:cs="Calibri"/>
                <w:color w:val="000000"/>
              </w:rPr>
              <w:t>35,000,000</w:t>
            </w:r>
          </w:p>
        </w:tc>
        <w:tc>
          <w:tcPr>
            <w:tcW w:w="128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017D" w:rsidRPr="0006017D" w:rsidTr="0006017D">
        <w:trPr>
          <w:trHeight w:val="288"/>
        </w:trPr>
        <w:tc>
          <w:tcPr>
            <w:tcW w:w="96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06017D">
              <w:rPr>
                <w:rFonts w:ascii="Calibri" w:eastAsia="Times New Roman" w:hAnsi="Calibri" w:cs="Calibri"/>
                <w:color w:val="000000"/>
              </w:rPr>
              <w:t>enefits</w:t>
            </w:r>
          </w:p>
        </w:tc>
        <w:tc>
          <w:tcPr>
            <w:tcW w:w="128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$ 24,160,408</w:t>
            </w:r>
          </w:p>
        </w:tc>
        <w:tc>
          <w:tcPr>
            <w:tcW w:w="130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17D">
              <w:rPr>
                <w:rFonts w:ascii="Calibri" w:eastAsia="Times New Roman" w:hAnsi="Calibri" w:cs="Calibri"/>
                <w:color w:val="000000"/>
              </w:rPr>
              <w:t>$ 24,160,408</w:t>
            </w:r>
          </w:p>
        </w:tc>
        <w:tc>
          <w:tcPr>
            <w:tcW w:w="1380" w:type="dxa"/>
            <w:noWrap/>
            <w:hideMark/>
          </w:tcPr>
          <w:p w:rsidR="0006017D" w:rsidRPr="0006017D" w:rsidRDefault="005D7663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</w:t>
            </w:r>
            <w:r w:rsidR="0006017D" w:rsidRPr="0006017D">
              <w:rPr>
                <w:rFonts w:ascii="Calibri" w:eastAsia="Times New Roman" w:hAnsi="Calibri" w:cs="Calibri"/>
                <w:color w:val="000000"/>
              </w:rPr>
              <w:t>48,320,816</w:t>
            </w:r>
          </w:p>
        </w:tc>
        <w:tc>
          <w:tcPr>
            <w:tcW w:w="128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017D" w:rsidRPr="0006017D" w:rsidTr="0006017D">
        <w:trPr>
          <w:trHeight w:val="288"/>
        </w:trPr>
        <w:tc>
          <w:tcPr>
            <w:tcW w:w="96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06017D">
              <w:rPr>
                <w:rFonts w:ascii="Calibri" w:eastAsia="Times New Roman" w:hAnsi="Calibri" w:cs="Calibri"/>
                <w:color w:val="000000"/>
              </w:rPr>
              <w:t>et benefits</w:t>
            </w:r>
          </w:p>
        </w:tc>
        <w:tc>
          <w:tcPr>
            <w:tcW w:w="1380" w:type="dxa"/>
            <w:noWrap/>
            <w:hideMark/>
          </w:tcPr>
          <w:p w:rsidR="0006017D" w:rsidRPr="0006017D" w:rsidRDefault="005D7663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</w:t>
            </w:r>
            <w:r w:rsidR="0006017D" w:rsidRPr="0006017D">
              <w:rPr>
                <w:rFonts w:ascii="Calibri" w:eastAsia="Times New Roman" w:hAnsi="Calibri" w:cs="Calibri"/>
                <w:color w:val="000000"/>
              </w:rPr>
              <w:t>13,320,816</w:t>
            </w:r>
          </w:p>
        </w:tc>
        <w:tc>
          <w:tcPr>
            <w:tcW w:w="1280" w:type="dxa"/>
            <w:noWrap/>
            <w:hideMark/>
          </w:tcPr>
          <w:p w:rsidR="0006017D" w:rsidRPr="0006017D" w:rsidRDefault="0006017D" w:rsidP="005D7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D6AF7" w:rsidRPr="00747765" w:rsidRDefault="00CD6AF7" w:rsidP="00CD6AF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CD6AF7" w:rsidRPr="00747765" w:rsidSect="00CD6A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B6"/>
    <w:rsid w:val="00006255"/>
    <w:rsid w:val="0006017D"/>
    <w:rsid w:val="000F59A2"/>
    <w:rsid w:val="001044E9"/>
    <w:rsid w:val="00185039"/>
    <w:rsid w:val="001C34BA"/>
    <w:rsid w:val="00203235"/>
    <w:rsid w:val="004D4AE9"/>
    <w:rsid w:val="005D20FE"/>
    <w:rsid w:val="005D7663"/>
    <w:rsid w:val="006049C7"/>
    <w:rsid w:val="00604C83"/>
    <w:rsid w:val="006B01E3"/>
    <w:rsid w:val="006D3B8E"/>
    <w:rsid w:val="006D4D7B"/>
    <w:rsid w:val="00716C41"/>
    <w:rsid w:val="00747765"/>
    <w:rsid w:val="00797CB6"/>
    <w:rsid w:val="007D030B"/>
    <w:rsid w:val="00821E16"/>
    <w:rsid w:val="008B639E"/>
    <w:rsid w:val="009F5EA6"/>
    <w:rsid w:val="00B01B47"/>
    <w:rsid w:val="00C43993"/>
    <w:rsid w:val="00CD6AF7"/>
    <w:rsid w:val="00E24CB4"/>
    <w:rsid w:val="00EC59C7"/>
    <w:rsid w:val="00F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C284"/>
  <w15:chartTrackingRefBased/>
  <w15:docId w15:val="{3A9A33CF-E18A-4EAC-AADE-0EDEDCDF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9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F818B-5B6C-411B-8D5A-97D77576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Xiaozhou Yu</dc:creator>
  <cp:keywords/>
  <dc:description/>
  <cp:lastModifiedBy>Xiaozhou Yu</cp:lastModifiedBy>
  <cp:revision>13</cp:revision>
  <cp:lastPrinted>2016-10-12T03:42:00Z</cp:lastPrinted>
  <dcterms:created xsi:type="dcterms:W3CDTF">2016-10-10T05:03:00Z</dcterms:created>
  <dcterms:modified xsi:type="dcterms:W3CDTF">2016-10-12T22:49:00Z</dcterms:modified>
</cp:coreProperties>
</file>